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89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-403224</wp:posOffset>
            </wp:positionV>
            <wp:extent cx="1999615" cy="3724910"/>
            <wp:effectExtent b="0" l="0" r="0" t="0"/>
            <wp:wrapNone/>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999615" cy="3724910"/>
                    </a:xfrm>
                    <a:prstGeom prst="rect"/>
                    <a:ln/>
                  </pic:spPr>
                </pic:pic>
              </a:graphicData>
            </a:graphic>
          </wp:anchor>
        </w:drawing>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40" w:lineRule="auto"/>
        <w:ind w:left="0"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1"/>
        <w:rPr/>
      </w:pPr>
      <w:r w:rsidDel="00000000" w:rsidR="00000000" w:rsidRPr="00000000">
        <w:rPr>
          <w:rtl w:val="0"/>
        </w:rPr>
        <w:t xml:space="preserve">     INFORME COVID-19</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0">
      <w:pPr>
        <w:ind w:left="5" w:right="360" w:firstLine="0"/>
        <w:jc w:val="cente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INFORME VACUNACION JORNADAS DE VACUNACION INTRAMURAL Y EXTRAMURAL</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spacing w:before="1" w:lineRule="auto"/>
        <w:ind w:left="2" w:right="360" w:firstLine="0"/>
        <w:jc w:val="cente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VACUNACION COVID 19</w:t>
      </w:r>
    </w:p>
    <w:p w:rsidR="00000000" w:rsidDel="00000000" w:rsidP="00000000" w:rsidRDefault="00000000" w:rsidRPr="00000000" w14:paraId="00000017">
      <w:pPr>
        <w:spacing w:before="1" w:lineRule="auto"/>
        <w:ind w:left="2" w:right="360" w:firstLine="0"/>
        <w:jc w:val="cente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Distrito especial de Santiago de Cali, Noviembre18 / 2025</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pStyle w:val="Heading1"/>
        <w:tabs>
          <w:tab w:val="left" w:leader="none" w:pos="5245"/>
        </w:tabs>
        <w:rPr/>
      </w:pPr>
      <w:bookmarkStart w:colFirst="0" w:colLast="0" w:name="_2yfetniqcia5" w:id="0"/>
      <w:bookmarkEnd w:id="0"/>
      <w:r w:rsidDel="00000000" w:rsidR="00000000" w:rsidRPr="00000000">
        <w:rPr>
          <w:rtl w:val="0"/>
        </w:rPr>
        <w:t xml:space="preserve">INTRODUCCIÓN</w:t>
      </w:r>
    </w:p>
    <w:p w:rsidR="00000000" w:rsidDel="00000000" w:rsidP="00000000" w:rsidRDefault="00000000" w:rsidRPr="00000000" w14:paraId="0000002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finales de diciembre de 2019 Wuhan China alertó al mundo por una serie de nuevos cuadros de infecciones respiratorias de causa desconocida, para el 7 de enero del 2020 lograron identificar y aislar como causante de estos cuadros a un virus inicialmente llamado 2019nCoV y para la fecha como el SARS-CoV2 que rápida y progresivamente fue despertando una alerta mundial por su alta transmisibilidad y mortalidad creciente.</w:t>
      </w:r>
    </w:p>
    <w:p w:rsidR="00000000" w:rsidDel="00000000" w:rsidP="00000000" w:rsidRDefault="00000000" w:rsidRPr="00000000" w14:paraId="0000002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el año 2020, el mundo entero, se enfrenta a un virus clasificado como SARS-CoV2 causante de la enfermedad COVID-19. El 11 de marzo del 2020 la Organización Mundial de Salud OMS (Figura 1), declara a esta enfermedad como una pandemia de orden mundial, que se diseminó de forma exponencial, debido al alto tránsito de personas por vía aérea y terrestre de un país a otro, lo que generó un impacto dramático con consecuencias letales en especial para personas mayores de 60 años y/o comorbilidades como la obesidad, enfermedades cardiovasculares e inmunosuprimidas, además del impacto generado  a nivel social y económico</w:t>
      </w:r>
    </w:p>
    <w:p w:rsidR="00000000" w:rsidDel="00000000" w:rsidP="00000000" w:rsidRDefault="00000000" w:rsidRPr="00000000" w14:paraId="00000028">
      <w:pPr>
        <w:keepNext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lineRule="auto"/>
        <w:jc w:val="both"/>
        <w:rPr>
          <w:rFonts w:ascii="Arial" w:cs="Arial" w:eastAsia="Arial" w:hAnsi="Arial"/>
          <w:i w:val="1"/>
          <w:iCs w:val="1"/>
          <w:sz w:val="16"/>
          <w:szCs w:val="16"/>
        </w:rPr>
      </w:pPr>
      <w:bookmarkStart w:colFirst="0" w:colLast="0" w:name="_6v100s89b9x9" w:id="1"/>
      <w:bookmarkEnd w:id="1"/>
      <w:r w:rsidDel="00000000" w:rsidR="00000000" w:rsidRPr="00000000">
        <w:rPr>
          <w:rFonts w:ascii="Arial" w:cs="Arial" w:eastAsia="Arial" w:hAnsi="Arial"/>
          <w:i w:val="1"/>
          <w:iCs w:val="1"/>
          <w:sz w:val="16"/>
          <w:szCs w:val="16"/>
          <w:rtl w:val="0"/>
        </w:rPr>
        <w:t xml:space="preserve">Figura 1 Línea del tiempo del COVID-19 Fuente: Elaboración propia.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Pr>
        <w:drawing>
          <wp:inline distB="114300" distT="114300" distL="114300" distR="114300">
            <wp:extent cx="6281997" cy="3227587"/>
            <wp:effectExtent b="0" l="0" r="0" t="0"/>
            <wp:docPr id="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6281997" cy="3227587"/>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0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0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2F">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Secretaría de Salud de Santiago de Cali, una vez que el país fue informado, en alocución Presidencial a través del programa televisivo “Prevención y acción”, el pasado 18 de diciembre de 2020,  donde se presentó el Plan Nacional de Vacunación contra el COVID-19 y el anuncio que el país compró 40 millones de dosis de biológicos para 20 millones de colombianos que serán aplicadas gratuitamente en 2021, teniendo en cuenta que la vacuna requiere dos dosis por persona, inició, en cabeza de su Secretaria, la Dra. Miyerlandi Torres Agredo y del señor Alcalde Dr. Jorge Iván Ospina Gómez, la planificación de actividades que darían paso a la estrategia e implementación en torno al Plan de Vacunación contra el COVID-19 para la ciudad.</w:t>
      </w:r>
    </w:p>
    <w:p w:rsidR="00000000" w:rsidDel="00000000" w:rsidP="00000000" w:rsidRDefault="00000000" w:rsidRPr="00000000" w14:paraId="00000030">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Este documento surge dando respuesta al plan y los lineamientos nacionales de Vacunación contra COVID-19 adoptado bajo los Decretos 466 del 8 de mayo de 2021 y el 109 del 29 de enero de 2021, expedidos por el Ministerio de Salud y Protección Social en el que se describen aspectos de las priorizaciones, responsabilidades, costos, importación y comercialización de las vacunas con el objetivo de disminuir la morbi-mortalidad por COVID-19 y por medio de los cuales se emitieron los lineamientos técnicos y operativos para ejecución de los planes locales de vacunación.</w:t>
      </w:r>
    </w:p>
    <w:p w:rsidR="00000000" w:rsidDel="00000000" w:rsidP="00000000" w:rsidRDefault="00000000" w:rsidRPr="00000000" w14:paraId="0000003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pStyle w:val="Heading1"/>
        <w:jc w:val="both"/>
        <w:rPr>
          <w:sz w:val="24"/>
          <w:szCs w:val="24"/>
        </w:rPr>
      </w:pPr>
      <w:bookmarkStart w:colFirst="0" w:colLast="0" w:name="_m8awzegd1xfc" w:id="2"/>
      <w:bookmarkEnd w:id="2"/>
      <w:r w:rsidDel="00000000" w:rsidR="00000000" w:rsidRPr="00000000">
        <w:rPr>
          <w:sz w:val="24"/>
          <w:szCs w:val="24"/>
          <w:rtl w:val="0"/>
        </w:rPr>
        <w:t xml:space="preserve">Justificación de la Vacunación y Priorización.</w:t>
      </w:r>
    </w:p>
    <w:p w:rsidR="00000000" w:rsidDel="00000000" w:rsidP="00000000" w:rsidRDefault="00000000" w:rsidRPr="00000000" w14:paraId="00000033">
      <w:pPr>
        <w:spacing w:after="280" w:before="28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pandemia por COVID-19 ha exigido que la comunidad científica busque estrategias de prevención. En este sentido se ha trabajado fuertemente para desarrollar vacunas seguras y eficaces. A finales del 2020 se inició la presentación de resultados que describen la eficacia y seguridad de diferentes vacunas y en febrero de 2021, se iniciaron los procesos de vacunación en este país. </w:t>
      </w:r>
    </w:p>
    <w:p w:rsidR="00000000" w:rsidDel="00000000" w:rsidP="00000000" w:rsidRDefault="00000000" w:rsidRPr="00000000" w14:paraId="00000034">
      <w:pPr>
        <w:widowControl w:val="1"/>
        <w:numPr>
          <w:ilvl w:val="0"/>
          <w:numId w:val="7"/>
        </w:numPr>
        <w:spacing w:after="0" w:before="280" w:line="360" w:lineRule="auto"/>
        <w:ind w:left="720" w:hanging="360"/>
        <w:jc w:val="both"/>
        <w:rPr/>
      </w:pPr>
      <w:r w:rsidDel="00000000" w:rsidR="00000000" w:rsidRPr="00000000">
        <w:rPr>
          <w:rFonts w:ascii="Arial" w:cs="Arial" w:eastAsia="Arial" w:hAnsi="Arial"/>
          <w:sz w:val="24"/>
          <w:szCs w:val="24"/>
          <w:rtl w:val="0"/>
        </w:rPr>
        <w:t xml:space="preserve">Pfizer-BioNTech (BNT162b2, PF-07302048): Un esquema de dos dosis de BNT162b2 confirió una protección del 95% contra COVID-19 en personas de 12 años o más.</w:t>
      </w:r>
    </w:p>
    <w:p w:rsidR="00000000" w:rsidDel="00000000" w:rsidP="00000000" w:rsidRDefault="00000000" w:rsidRPr="00000000" w14:paraId="00000035">
      <w:pPr>
        <w:widowControl w:val="1"/>
        <w:numPr>
          <w:ilvl w:val="0"/>
          <w:numId w:val="7"/>
        </w:numPr>
        <w:spacing w:after="0" w:before="0" w:line="360" w:lineRule="auto"/>
        <w:ind w:left="720" w:hanging="360"/>
        <w:jc w:val="both"/>
        <w:rPr/>
      </w:pPr>
      <w:r w:rsidDel="00000000" w:rsidR="00000000" w:rsidRPr="00000000">
        <w:rPr>
          <w:rFonts w:ascii="Arial" w:cs="Arial" w:eastAsia="Arial" w:hAnsi="Arial"/>
          <w:sz w:val="24"/>
          <w:szCs w:val="24"/>
          <w:rtl w:val="0"/>
        </w:rPr>
        <w:t xml:space="preserve">Moderna (mRNA-1273): La vacuna mRNA-1273 mostró una eficacia del 94,1% para prevenir el COVID-19, incluida la enfermedad grave, en participantes de 12 años en adelante.</w:t>
      </w:r>
    </w:p>
    <w:p w:rsidR="00000000" w:rsidDel="00000000" w:rsidP="00000000" w:rsidRDefault="00000000" w:rsidRPr="00000000" w14:paraId="00000036">
      <w:pPr>
        <w:widowControl w:val="1"/>
        <w:numPr>
          <w:ilvl w:val="0"/>
          <w:numId w:val="7"/>
        </w:numPr>
        <w:spacing w:after="0" w:before="0" w:line="360" w:lineRule="auto"/>
        <w:ind w:left="720" w:hanging="360"/>
        <w:jc w:val="both"/>
        <w:rPr/>
      </w:pPr>
      <w:r w:rsidDel="00000000" w:rsidR="00000000" w:rsidRPr="00000000">
        <w:rPr>
          <w:rFonts w:ascii="Arial" w:cs="Arial" w:eastAsia="Arial" w:hAnsi="Arial"/>
          <w:sz w:val="24"/>
          <w:szCs w:val="24"/>
          <w:rtl w:val="0"/>
        </w:rPr>
        <w:t xml:space="preserve">AstraZeneca (AZD1222): Eficacia del 62,1% en pacientes de 18 años y más que recibieron dos dosis estándar y del 90,0% entre quienes recibieron una dosis baja seguida de una dosis estándar.</w:t>
      </w:r>
    </w:p>
    <w:p w:rsidR="00000000" w:rsidDel="00000000" w:rsidP="00000000" w:rsidRDefault="00000000" w:rsidRPr="00000000" w14:paraId="00000037">
      <w:pPr>
        <w:widowControl w:val="1"/>
        <w:numPr>
          <w:ilvl w:val="0"/>
          <w:numId w:val="7"/>
        </w:numPr>
        <w:spacing w:after="280" w:before="0" w:line="360" w:lineRule="auto"/>
        <w:ind w:left="720" w:hanging="360"/>
        <w:jc w:val="both"/>
        <w:rPr/>
      </w:pPr>
      <w:r w:rsidDel="00000000" w:rsidR="00000000" w:rsidRPr="00000000">
        <w:rPr>
          <w:rFonts w:ascii="Arial" w:cs="Arial" w:eastAsia="Arial" w:hAnsi="Arial"/>
          <w:sz w:val="24"/>
          <w:szCs w:val="24"/>
          <w:rtl w:val="0"/>
        </w:rPr>
        <w:t xml:space="preserve">Sinovac: Eficacia entre el 50,4% y el 91,3%.</w:t>
      </w:r>
    </w:p>
    <w:p w:rsidR="00000000" w:rsidDel="00000000" w:rsidP="00000000" w:rsidRDefault="00000000" w:rsidRPr="00000000" w14:paraId="00000038">
      <w:pPr>
        <w:pStyle w:val="Heading2"/>
        <w:ind w:left="0" w:firstLine="0"/>
        <w:jc w:val="center"/>
        <w:rPr/>
      </w:pPr>
      <w:r w:rsidDel="00000000" w:rsidR="00000000" w:rsidRPr="00000000">
        <w:rPr>
          <w:rtl w:val="0"/>
        </w:rPr>
      </w:r>
    </w:p>
    <w:p w:rsidR="00000000" w:rsidDel="00000000" w:rsidP="00000000" w:rsidRDefault="00000000" w:rsidRPr="00000000" w14:paraId="00000039">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El Ministerio de Salud y Protección Social expidió la Resolución </w:t>
      </w:r>
      <w:hyperlink r:id="rId8">
        <w:r w:rsidDel="00000000" w:rsidR="00000000" w:rsidRPr="00000000">
          <w:rPr>
            <w:rFonts w:ascii="Arial" w:cs="Arial" w:eastAsia="Arial" w:hAnsi="Arial"/>
            <w:color w:val="0563c1"/>
            <w:sz w:val="24"/>
            <w:szCs w:val="24"/>
            <w:u w:val="single"/>
            <w:rtl w:val="0"/>
          </w:rPr>
          <w:t xml:space="preserve">592</w:t>
        </w:r>
      </w:hyperlink>
      <w:r w:rsidDel="00000000" w:rsidR="00000000" w:rsidRPr="00000000">
        <w:rPr>
          <w:rFonts w:ascii="Arial" w:cs="Arial" w:eastAsia="Arial" w:hAnsi="Arial"/>
          <w:color w:val="333333"/>
          <w:sz w:val="24"/>
          <w:szCs w:val="24"/>
          <w:rtl w:val="0"/>
        </w:rPr>
        <w:t xml:space="preserve"> del 4 de abril de 2024, la cual modificó el artículo </w:t>
      </w:r>
      <w:hyperlink r:id="rId9">
        <w:r w:rsidDel="00000000" w:rsidR="00000000" w:rsidRPr="00000000">
          <w:rPr>
            <w:rFonts w:ascii="Arial" w:cs="Arial" w:eastAsia="Arial" w:hAnsi="Arial"/>
            <w:color w:val="0563c1"/>
            <w:sz w:val="24"/>
            <w:szCs w:val="24"/>
            <w:u w:val="single"/>
            <w:rtl w:val="0"/>
          </w:rPr>
          <w:t xml:space="preserve">1º</w:t>
        </w:r>
      </w:hyperlink>
      <w:r w:rsidDel="00000000" w:rsidR="00000000" w:rsidRPr="00000000">
        <w:rPr>
          <w:rFonts w:ascii="Arial" w:cs="Arial" w:eastAsia="Arial" w:hAnsi="Arial"/>
          <w:color w:val="333333"/>
          <w:sz w:val="24"/>
          <w:szCs w:val="24"/>
          <w:rtl w:val="0"/>
        </w:rPr>
        <w:t xml:space="preserve"> de la Resolución 986 de 2023, modificado por la Resolución </w:t>
      </w:r>
      <w:hyperlink r:id="rId10">
        <w:r w:rsidDel="00000000" w:rsidR="00000000" w:rsidRPr="00000000">
          <w:rPr>
            <w:rFonts w:ascii="Arial" w:cs="Arial" w:eastAsia="Arial" w:hAnsi="Arial"/>
            <w:color w:val="0563c1"/>
            <w:sz w:val="24"/>
            <w:szCs w:val="24"/>
            <w:u w:val="single"/>
            <w:rtl w:val="0"/>
          </w:rPr>
          <w:t xml:space="preserve">1862</w:t>
        </w:r>
      </w:hyperlink>
      <w:r w:rsidDel="00000000" w:rsidR="00000000" w:rsidRPr="00000000">
        <w:rPr>
          <w:rFonts w:ascii="Arial" w:cs="Arial" w:eastAsia="Arial" w:hAnsi="Arial"/>
          <w:color w:val="333333"/>
          <w:sz w:val="24"/>
          <w:szCs w:val="24"/>
          <w:rtl w:val="0"/>
        </w:rPr>
        <w:t xml:space="preserve"> de 2023, en virtud de la cual se establecieron los lineamientos para la aplicación de las vacunas contra la COVID-19, y en su artículo 2 establece los esquemas de vacunación contra la covid-19.</w:t>
      </w:r>
    </w:p>
    <w:p w:rsidR="00000000" w:rsidDel="00000000" w:rsidP="00000000" w:rsidRDefault="00000000" w:rsidRPr="00000000" w14:paraId="0000003A">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 </w:t>
      </w:r>
    </w:p>
    <w:p w:rsidR="00000000" w:rsidDel="00000000" w:rsidP="00000000" w:rsidRDefault="00000000" w:rsidRPr="00000000" w14:paraId="0000003B">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Que, teniendo en cuenta que la vacuna contra COVID-19 para el Plan Nacional de Vacunación PNV utiliza la misma estructura del Programa Ampliado de Inmunizaciones PAI; para la adquisición de esta vacuna se realizara a través del convenio actual con la OPS, Convenio de cooperación 275 de 2011; y considerando que el Fondo Rotatorio para los programas Ampliados de Inmunización de los Estados Miembros, es un mecanismo desarrollado por la OPS/OMS para la compra de vacunas, jeringas y otros insumos relacionados cuyo establecimiento fue autorizado por Resolución CD25R27 del Consejo Directivo de la OPS/OMS en 1977.</w:t>
      </w:r>
    </w:p>
    <w:p w:rsidR="00000000" w:rsidDel="00000000" w:rsidP="00000000" w:rsidRDefault="00000000" w:rsidRPr="00000000" w14:paraId="0000003C">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 </w:t>
      </w:r>
    </w:p>
    <w:p w:rsidR="00000000" w:rsidDel="00000000" w:rsidP="00000000" w:rsidRDefault="00000000" w:rsidRPr="00000000" w14:paraId="0000003D">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Que, el Convenio de Cooperación 275 de 2011, en su cláusula segunda, </w:t>
      </w:r>
      <w:r w:rsidDel="00000000" w:rsidR="00000000" w:rsidRPr="00000000">
        <w:rPr>
          <w:rFonts w:ascii="Arial" w:cs="Arial" w:eastAsia="Arial" w:hAnsi="Arial"/>
          <w:i w:val="1"/>
          <w:iCs w:val="1"/>
          <w:color w:val="333333"/>
          <w:sz w:val="24"/>
          <w:szCs w:val="24"/>
          <w:rtl w:val="0"/>
        </w:rPr>
        <w:t xml:space="preserve">Características técnicas de las vacunas, jeringas y otros insumos relacionados a adquirir</w:t>
      </w:r>
      <w:r w:rsidDel="00000000" w:rsidR="00000000" w:rsidRPr="00000000">
        <w:rPr>
          <w:rFonts w:ascii="Arial" w:cs="Arial" w:eastAsia="Arial" w:hAnsi="Arial"/>
          <w:color w:val="333333"/>
          <w:sz w:val="24"/>
          <w:szCs w:val="24"/>
          <w:rtl w:val="0"/>
        </w:rPr>
        <w:t xml:space="preserve">, en el numeral 2. Registro Sanitario, refiere: </w:t>
      </w:r>
      <w:r w:rsidDel="00000000" w:rsidR="00000000" w:rsidRPr="00000000">
        <w:rPr>
          <w:rFonts w:ascii="Arial" w:cs="Arial" w:eastAsia="Arial" w:hAnsi="Arial"/>
          <w:i w:val="1"/>
          <w:iCs w:val="1"/>
          <w:color w:val="333333"/>
          <w:sz w:val="24"/>
          <w:szCs w:val="24"/>
          <w:rtl w:val="0"/>
        </w:rPr>
        <w:t xml:space="preserve">"Las vacunas, jeringas y otros insumos relacionados deben contar, de preferencia con registro sanitario vigente expedido por el Instituto Nacional de Vigilancia de Medicamentos y Alimentos de Colombia INVIMA. Si las vacunas, jeringas y otros insumos no cuentan con el referido registro sanitario, el Ministerio de la Protección Social deberá aceptar las vacunas, jeringas y otros insumos siempre y cuando hayan sido registrados ante una autoridad competente equivalente en el país de fabricación u origen".</w:t>
      </w:r>
      <w:r w:rsidDel="00000000" w:rsidR="00000000" w:rsidRPr="00000000">
        <w:rPr>
          <w:rtl w:val="0"/>
        </w:rPr>
      </w:r>
    </w:p>
    <w:p w:rsidR="00000000" w:rsidDel="00000000" w:rsidP="00000000" w:rsidRDefault="00000000" w:rsidRPr="00000000" w14:paraId="0000003E">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 </w:t>
      </w:r>
    </w:p>
    <w:p w:rsidR="00000000" w:rsidDel="00000000" w:rsidP="00000000" w:rsidRDefault="00000000" w:rsidRPr="00000000" w14:paraId="0000003F">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Que, de acuerdo con la Organización Mundial de la salud para octubre 20 de 2024 el total acumulados de casos reportados de COVID-19 en el mundo es de 776.696.616, siendo Europa, Asia, Pacífico y las Américas los sitios del mundo con mayor reporte en este momento de casos nuevos. Referente al número de defunciones acumuladas a la fecha en el mundo, 7,072,509, donde en las Américas y en Europa se han reportado el mayor número de casos de muertes.</w:t>
      </w:r>
    </w:p>
    <w:p w:rsidR="00000000" w:rsidDel="00000000" w:rsidP="00000000" w:rsidRDefault="00000000" w:rsidRPr="00000000" w14:paraId="00000040">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 </w:t>
      </w:r>
    </w:p>
    <w:p w:rsidR="00000000" w:rsidDel="00000000" w:rsidP="00000000" w:rsidRDefault="00000000" w:rsidRPr="00000000" w14:paraId="00000041">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Que, según datos del Sistema de Vigilancia en Salud Pública (SIVIGILA) con corte al 2 de noviembre de 2024, se registran en Colombia un total acumulado de 6.415.109 casos confirmados de COVID-19 desde el inicio de la pandemia, con una tasa de contagio de 12.173,42 por cada 100.000 habitantes. En cuanto a las muertes, se presenta un total acumulado de 143.465 fallecidos, con una tasa de mortalidad de 272,17 muertes por cada 100.000 habitantes y una letalidad del 2,23%.</w:t>
      </w:r>
    </w:p>
    <w:p w:rsidR="00000000" w:rsidDel="00000000" w:rsidP="00000000" w:rsidRDefault="00000000" w:rsidRPr="00000000" w14:paraId="00000042">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 </w:t>
      </w:r>
    </w:p>
    <w:p w:rsidR="00000000" w:rsidDel="00000000" w:rsidP="00000000" w:rsidRDefault="00000000" w:rsidRPr="00000000" w14:paraId="00000043">
      <w:pPr>
        <w:widowControl w:val="1"/>
        <w:shd w:fill="ffffff" w:val="clear"/>
        <w:jc w:val="both"/>
        <w:rPr>
          <w:rFonts w:ascii="Arial" w:cs="Arial" w:eastAsia="Arial" w:hAnsi="Arial"/>
          <w:color w:val="333333"/>
          <w:sz w:val="24"/>
          <w:szCs w:val="24"/>
        </w:rPr>
      </w:pPr>
      <w:r w:rsidDel="00000000" w:rsidR="00000000" w:rsidRPr="00000000">
        <w:rPr>
          <w:rtl w:val="0"/>
        </w:rPr>
      </w:r>
    </w:p>
    <w:p w:rsidR="00000000" w:rsidDel="00000000" w:rsidP="00000000" w:rsidRDefault="00000000" w:rsidRPr="00000000" w14:paraId="00000044">
      <w:pPr>
        <w:widowControl w:val="1"/>
        <w:shd w:fill="ffffff" w:val="clear"/>
        <w:jc w:val="both"/>
        <w:rPr>
          <w:rFonts w:ascii="Arial" w:cs="Arial" w:eastAsia="Arial" w:hAnsi="Arial"/>
          <w:color w:val="333333"/>
          <w:sz w:val="24"/>
          <w:szCs w:val="24"/>
        </w:rPr>
      </w:pPr>
      <w:r w:rsidDel="00000000" w:rsidR="00000000" w:rsidRPr="00000000">
        <w:rPr>
          <w:rtl w:val="0"/>
        </w:rPr>
      </w:r>
    </w:p>
    <w:p w:rsidR="00000000" w:rsidDel="00000000" w:rsidP="00000000" w:rsidRDefault="00000000" w:rsidRPr="00000000" w14:paraId="00000045">
      <w:pPr>
        <w:widowControl w:val="1"/>
        <w:shd w:fill="ffffff" w:val="clear"/>
        <w:jc w:val="both"/>
        <w:rPr>
          <w:rFonts w:ascii="Arial" w:cs="Arial" w:eastAsia="Arial" w:hAnsi="Arial"/>
          <w:color w:val="333333"/>
          <w:sz w:val="24"/>
          <w:szCs w:val="24"/>
        </w:rPr>
      </w:pPr>
      <w:r w:rsidDel="00000000" w:rsidR="00000000" w:rsidRPr="00000000">
        <w:rPr>
          <w:rtl w:val="0"/>
        </w:rPr>
      </w:r>
    </w:p>
    <w:p w:rsidR="00000000" w:rsidDel="00000000" w:rsidP="00000000" w:rsidRDefault="00000000" w:rsidRPr="00000000" w14:paraId="00000046">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Que, según datos del SIVIGILA, respecto a las defunciones, el último pico de muertes de mayor magnitud se presentó en 2021, seguido de un descenso abrupto. Se observó un leve incremento a principios de 2022, actualmente se mantiene una reducción sostenida de las defunciones. Al comparar el año 2021 con el 2022, se observa una reducción porcentual en las muertes del 85%, pasando de 85.789 defunciones en 2021 a 12.197 en 2022. Comparando el año 2021 con el 2023, la reducción porcentual es del 99%, con 788 defunciones reportadas en 2023. Fuente oficial para la mortalidad es el Departamento Administrativo Nacional de Estadística (DANE),</w:t>
      </w:r>
    </w:p>
    <w:p w:rsidR="00000000" w:rsidDel="00000000" w:rsidP="00000000" w:rsidRDefault="00000000" w:rsidRPr="00000000" w14:paraId="00000047">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 </w:t>
      </w:r>
    </w:p>
    <w:p w:rsidR="00000000" w:rsidDel="00000000" w:rsidP="00000000" w:rsidRDefault="00000000" w:rsidRPr="00000000" w14:paraId="00000048">
      <w:pPr>
        <w:widowControl w:val="1"/>
        <w:shd w:fill="ffffff" w:val="clear"/>
        <w:jc w:val="both"/>
        <w:rPr>
          <w:rFonts w:ascii="Arial" w:cs="Arial" w:eastAsia="Arial" w:hAnsi="Arial"/>
          <w:color w:val="333333"/>
          <w:sz w:val="24"/>
          <w:szCs w:val="24"/>
        </w:rPr>
      </w:pPr>
      <w:r w:rsidDel="00000000" w:rsidR="00000000" w:rsidRPr="00000000">
        <w:rPr>
          <w:rtl w:val="0"/>
        </w:rPr>
      </w:r>
    </w:p>
    <w:p w:rsidR="00000000" w:rsidDel="00000000" w:rsidP="00000000" w:rsidRDefault="00000000" w:rsidRPr="00000000" w14:paraId="00000049">
      <w:pPr>
        <w:widowControl w:val="1"/>
        <w:shd w:fill="ffffff" w:val="clear"/>
        <w:jc w:val="both"/>
        <w:rPr>
          <w:rFonts w:ascii="Arial" w:cs="Arial" w:eastAsia="Arial" w:hAnsi="Arial"/>
          <w:color w:val="333333"/>
          <w:sz w:val="24"/>
          <w:szCs w:val="24"/>
        </w:rPr>
      </w:pPr>
      <w:r w:rsidDel="00000000" w:rsidR="00000000" w:rsidRPr="00000000">
        <w:rPr>
          <w:rFonts w:ascii="Arial" w:cs="Arial" w:eastAsia="Arial" w:hAnsi="Arial"/>
          <w:color w:val="333333"/>
          <w:sz w:val="24"/>
          <w:szCs w:val="24"/>
          <w:rtl w:val="0"/>
        </w:rPr>
        <w:t xml:space="preserve">Que, con respecto al año 2024, a 2 de noviembre de 2024, se han confirmado un total de 26.035 casos de COVID-19, con una tasa de contagio de 49 casos por cada 100.000 habitantes. En cuanto a las defunciones, según fecha de defunción, se reportaron 348 al mismo corte, lo que representa una tasa de mortalidad de 0,59 muertes por cada 100.000 habitantes. Se observa una disminución del 81% en comparación con la misma semana del año anterior (SE 39 de 2024: 49 casos frente a SE 39 de 2023: 266 casos). Al analizar las últimas cuatro semanas epidemiológicas de 2024 (SE 36 a 39), el promedio de casos confirmados fue de 94. Comparado con las cuatro semanas anteriores de 2024 (SE 32 a 35), donde el promedio era de 346 casos, se registra una disminución del 72%.</w:t>
      </w:r>
    </w:p>
    <w:p w:rsidR="00000000" w:rsidDel="00000000" w:rsidP="00000000" w:rsidRDefault="00000000" w:rsidRPr="00000000" w14:paraId="0000004A">
      <w:pPr>
        <w:widowControl w:val="1"/>
        <w:shd w:fill="ffffff" w:val="clear"/>
        <w:jc w:val="both"/>
        <w:rPr/>
      </w:pPr>
      <w:r w:rsidDel="00000000" w:rsidR="00000000" w:rsidRPr="00000000">
        <w:rPr>
          <w:rFonts w:ascii="Arial" w:cs="Arial" w:eastAsia="Arial" w:hAnsi="Arial"/>
          <w:color w:val="333333"/>
          <w:sz w:val="24"/>
          <w:szCs w:val="24"/>
          <w:rtl w:val="0"/>
        </w:rPr>
        <w:t xml:space="preserve"> </w:t>
      </w:r>
      <w:r w:rsidDel="00000000" w:rsidR="00000000" w:rsidRPr="00000000">
        <w:rPr>
          <w:rtl w:val="0"/>
        </w:rPr>
      </w:r>
    </w:p>
    <w:p w:rsidR="00000000" w:rsidDel="00000000" w:rsidP="00000000" w:rsidRDefault="00000000" w:rsidRPr="00000000" w14:paraId="0000004B">
      <w:pPr>
        <w:pStyle w:val="Heading2"/>
        <w:ind w:left="0" w:firstLine="0"/>
        <w:rPr>
          <w:b w:val="0"/>
          <w:bCs w:val="0"/>
        </w:rPr>
      </w:pPr>
      <w:r w:rsidDel="00000000" w:rsidR="00000000" w:rsidRPr="00000000">
        <w:rPr>
          <w:rtl w:val="0"/>
        </w:rPr>
      </w:r>
    </w:p>
    <w:p w:rsidR="00000000" w:rsidDel="00000000" w:rsidP="00000000" w:rsidRDefault="00000000" w:rsidRPr="00000000" w14:paraId="0000004C">
      <w:pPr>
        <w:pStyle w:val="Heading2"/>
        <w:ind w:left="0" w:firstLine="0"/>
        <w:rPr>
          <w:b w:val="0"/>
          <w:bCs w:val="0"/>
        </w:rPr>
      </w:pPr>
      <w:r w:rsidDel="00000000" w:rsidR="00000000" w:rsidRPr="00000000">
        <w:rPr>
          <w:rtl w:val="0"/>
        </w:rPr>
      </w:r>
    </w:p>
    <w:p w:rsidR="00000000" w:rsidDel="00000000" w:rsidP="00000000" w:rsidRDefault="00000000" w:rsidRPr="00000000" w14:paraId="0000004D">
      <w:pPr>
        <w:pStyle w:val="Heading2"/>
        <w:ind w:left="0" w:firstLine="0"/>
        <w:rPr>
          <w:b w:val="0"/>
          <w:bCs w:val="0"/>
        </w:rPr>
      </w:pPr>
      <w:r w:rsidDel="00000000" w:rsidR="00000000" w:rsidRPr="00000000">
        <w:rPr>
          <w:b w:val="0"/>
          <w:bCs w:val="0"/>
          <w:rtl w:val="0"/>
        </w:rPr>
        <w:t xml:space="preserve">1. Objetivo General</w:t>
      </w:r>
    </w:p>
    <w:p w:rsidR="00000000" w:rsidDel="00000000" w:rsidP="00000000" w:rsidRDefault="00000000" w:rsidRPr="00000000" w14:paraId="0000004E">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Intensificar las acciones de vacunación que permitan captar la población objeto del programa para iniciar, continuar y completar los esquemas de vacunación y alcanzar coberturas útiles en la ciudad Santiago de Cali, donde se encuentran las 150 IPS vacunadoras, contribuyendo así a la disminución de la morbilidad por eventos prevenibles por vacunación.</w:t>
      </w:r>
    </w:p>
    <w:p w:rsidR="00000000" w:rsidDel="00000000" w:rsidP="00000000" w:rsidRDefault="00000000" w:rsidRPr="00000000" w14:paraId="0000004F">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 Objetivos Específicos</w:t>
      </w:r>
    </w:p>
    <w:p w:rsidR="00000000" w:rsidDel="00000000" w:rsidP="00000000" w:rsidRDefault="00000000" w:rsidRPr="00000000" w14:paraId="00000051">
      <w:pPr>
        <w:widowControl w:val="1"/>
        <w:numPr>
          <w:ilvl w:val="0"/>
          <w:numId w:val="4"/>
        </w:numPr>
        <w:spacing w:after="0" w:before="2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Fortalecer la búsqueda activa de personas que aún no inician o no han completado su esquema de vacunación contra COVID-19.</w:t>
      </w:r>
    </w:p>
    <w:p w:rsidR="00000000" w:rsidDel="00000000" w:rsidP="00000000" w:rsidRDefault="00000000" w:rsidRPr="00000000" w14:paraId="00000052">
      <w:pPr>
        <w:widowControl w:val="1"/>
        <w:numPr>
          <w:ilvl w:val="0"/>
          <w:numId w:val="4"/>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Asegurar el acceso equitativo a dosis adicionales en población priorizada según los lineamientos del Ministerio de Salud.</w:t>
      </w:r>
    </w:p>
    <w:p w:rsidR="00000000" w:rsidDel="00000000" w:rsidP="00000000" w:rsidRDefault="00000000" w:rsidRPr="00000000" w14:paraId="00000053">
      <w:pPr>
        <w:widowControl w:val="1"/>
        <w:numPr>
          <w:ilvl w:val="0"/>
          <w:numId w:val="4"/>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Optimizar la logística de aplicación de biológicos mediante las IPS vacunadoras en zonas urbanas y rurales.</w:t>
      </w:r>
    </w:p>
    <w:p w:rsidR="00000000" w:rsidDel="00000000" w:rsidP="00000000" w:rsidRDefault="00000000" w:rsidRPr="00000000" w14:paraId="00000054">
      <w:pPr>
        <w:widowControl w:val="1"/>
        <w:numPr>
          <w:ilvl w:val="0"/>
          <w:numId w:val="4"/>
        </w:numPr>
        <w:spacing w:after="28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Monitorear y evaluar las coberturas por grupo etario con base en el avance del Plan Nacional de Vacunación.</w:t>
      </w:r>
    </w:p>
    <w:p w:rsidR="00000000" w:rsidDel="00000000" w:rsidP="00000000" w:rsidRDefault="00000000" w:rsidRPr="00000000" w14:paraId="00000055">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 Distribución de la Vacunación por Grupo Etario</w:t>
      </w:r>
    </w:p>
    <w:tbl>
      <w:tblPr>
        <w:tblStyle w:val="Table1"/>
        <w:tblW w:w="9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32"/>
        <w:gridCol w:w="4391"/>
        <w:tblGridChange w:id="0">
          <w:tblGrid>
            <w:gridCol w:w="5032"/>
            <w:gridCol w:w="4391"/>
          </w:tblGrid>
        </w:tblGridChange>
      </w:tblGrid>
      <w:tr>
        <w:trPr>
          <w:cantSplit w:val="0"/>
          <w:tblHeader w:val="1"/>
        </w:trPr>
        <w:tc>
          <w:tcPr>
            <w:vAlign w:val="center"/>
          </w:tcPr>
          <w:p w:rsidR="00000000" w:rsidDel="00000000" w:rsidP="00000000" w:rsidRDefault="00000000" w:rsidRPr="00000000" w14:paraId="00000059">
            <w:pPr>
              <w:widowControl w:val="1"/>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Grupo Etario</w:t>
            </w:r>
          </w:p>
        </w:tc>
        <w:tc>
          <w:tcPr>
            <w:vAlign w:val="center"/>
          </w:tcPr>
          <w:p w:rsidR="00000000" w:rsidDel="00000000" w:rsidP="00000000" w:rsidRDefault="00000000" w:rsidRPr="00000000" w14:paraId="0000005A">
            <w:pPr>
              <w:widowControl w:val="1"/>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Tipo de Dosis Aplicada</w:t>
            </w:r>
          </w:p>
        </w:tc>
      </w:tr>
      <w:tr>
        <w:trPr>
          <w:cantSplit w:val="0"/>
          <w:tblHeader w:val="0"/>
        </w:trPr>
        <w:tc>
          <w:tcPr>
            <w:vAlign w:val="center"/>
          </w:tcPr>
          <w:p w:rsidR="00000000" w:rsidDel="00000000" w:rsidP="00000000" w:rsidRDefault="00000000" w:rsidRPr="00000000" w14:paraId="0000005B">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De 6 meses a 4 años</w:t>
            </w:r>
          </w:p>
        </w:tc>
        <w:tc>
          <w:tcPr>
            <w:vAlign w:val="center"/>
          </w:tcPr>
          <w:p w:rsidR="00000000" w:rsidDel="00000000" w:rsidP="00000000" w:rsidRDefault="00000000" w:rsidRPr="00000000" w14:paraId="0000005C">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Primera dosis, Segunda dosis, Adicional</w:t>
            </w:r>
          </w:p>
        </w:tc>
      </w:tr>
      <w:tr>
        <w:trPr>
          <w:cantSplit w:val="0"/>
          <w:tblHeader w:val="0"/>
        </w:trPr>
        <w:tc>
          <w:tcPr>
            <w:vAlign w:val="center"/>
          </w:tcPr>
          <w:p w:rsidR="00000000" w:rsidDel="00000000" w:rsidP="00000000" w:rsidRDefault="00000000" w:rsidRPr="00000000" w14:paraId="0000005D">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De 5 años a 11 años</w:t>
            </w:r>
          </w:p>
        </w:tc>
        <w:tc>
          <w:tcPr>
            <w:vAlign w:val="center"/>
          </w:tcPr>
          <w:p w:rsidR="00000000" w:rsidDel="00000000" w:rsidP="00000000" w:rsidRDefault="00000000" w:rsidRPr="00000000" w14:paraId="0000005E">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05F">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De 12 a 59 años</w:t>
            </w:r>
          </w:p>
        </w:tc>
        <w:tc>
          <w:tcPr>
            <w:vAlign w:val="center"/>
          </w:tcPr>
          <w:p w:rsidR="00000000" w:rsidDel="00000000" w:rsidP="00000000" w:rsidRDefault="00000000" w:rsidRPr="00000000" w14:paraId="00000060">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061">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Gestantes</w:t>
            </w:r>
          </w:p>
        </w:tc>
        <w:tc>
          <w:tcPr>
            <w:vAlign w:val="center"/>
          </w:tcPr>
          <w:p w:rsidR="00000000" w:rsidDel="00000000" w:rsidP="00000000" w:rsidRDefault="00000000" w:rsidRPr="00000000" w14:paraId="00000062">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063">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Mayores de 60 años</w:t>
            </w:r>
          </w:p>
        </w:tc>
        <w:tc>
          <w:tcPr>
            <w:vAlign w:val="center"/>
          </w:tcPr>
          <w:p w:rsidR="00000000" w:rsidDel="00000000" w:rsidP="00000000" w:rsidRDefault="00000000" w:rsidRPr="00000000" w14:paraId="00000064">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065">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Talento humano en salud</w:t>
            </w:r>
          </w:p>
        </w:tc>
        <w:tc>
          <w:tcPr>
            <w:vAlign w:val="center"/>
          </w:tcPr>
          <w:p w:rsidR="00000000" w:rsidDel="00000000" w:rsidP="00000000" w:rsidRDefault="00000000" w:rsidRPr="00000000" w14:paraId="00000066">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067">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Personas de 12 a 59 años con comorbilidades</w:t>
            </w:r>
          </w:p>
        </w:tc>
        <w:tc>
          <w:tcPr>
            <w:vAlign w:val="center"/>
          </w:tcPr>
          <w:p w:rsidR="00000000" w:rsidDel="00000000" w:rsidP="00000000" w:rsidRDefault="00000000" w:rsidRPr="00000000" w14:paraId="00000068">
            <w:pPr>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bl>
    <w:p w:rsidR="00000000" w:rsidDel="00000000" w:rsidP="00000000" w:rsidRDefault="00000000" w:rsidRPr="00000000" w14:paraId="00000069">
      <w:pPr>
        <w:widowControl w:val="1"/>
        <w:spacing w:after="280" w:before="280" w:lineRule="auto"/>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Nota:</w:t>
      </w:r>
      <w:r w:rsidDel="00000000" w:rsidR="00000000" w:rsidRPr="00000000">
        <w:rPr>
          <w:rFonts w:ascii="Arial" w:cs="Arial" w:eastAsia="Arial" w:hAnsi="Arial"/>
          <w:sz w:val="24"/>
          <w:szCs w:val="24"/>
          <w:rtl w:val="0"/>
        </w:rPr>
        <w:t xml:space="preserve"> Esta clasificación está alineada con los lineamientos oficiales del Ministerio de Salud.</w:t>
      </w:r>
    </w:p>
    <w:p w:rsidR="00000000" w:rsidDel="00000000" w:rsidP="00000000" w:rsidRDefault="00000000" w:rsidRPr="00000000" w14:paraId="0000006A">
      <w:pPr>
        <w:pStyle w:val="Heading2"/>
        <w:tabs>
          <w:tab w:val="left" w:leader="none" w:pos="1037"/>
        </w:tabs>
        <w:spacing w:before="271" w:lineRule="auto"/>
        <w:ind w:left="679" w:firstLine="0"/>
        <w:rPr/>
      </w:pPr>
      <w:r w:rsidDel="00000000" w:rsidR="00000000" w:rsidRPr="00000000">
        <w:rPr>
          <w:rtl w:val="0"/>
        </w:rPr>
        <w:t xml:space="preserve">PLAN DE MEDIOS Y ESTRATEGIAS:</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259" w:right="61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Como institución nos encontramos altamente interesados en realizar jornadas de vacunación efectiva, intramurales y extramurales con nuestros equipos vacunadores, por lo cual se utilizarán las siguientes estrategias:</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977"/>
        </w:tabs>
        <w:spacing w:after="0" w:before="0" w:line="272" w:lineRule="auto"/>
        <w:ind w:left="977" w:right="0" w:hanging="356"/>
        <w:jc w:val="both"/>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Socialización del presente reporte al personal de vacunación.</w:t>
      </w:r>
    </w:p>
    <w:p w:rsidR="00000000" w:rsidDel="00000000" w:rsidP="00000000" w:rsidRDefault="00000000" w:rsidRPr="00000000" w14:paraId="0000007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977"/>
          <w:tab w:val="left" w:leader="none" w:pos="979"/>
        </w:tabs>
        <w:spacing w:after="0" w:before="1" w:line="235" w:lineRule="auto"/>
        <w:ind w:left="979" w:right="618" w:hanging="358"/>
        <w:jc w:val="both"/>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Divulgación vía WhatsApp al grupo conformado en la institución para que remitan a todas las Ips esta información y logremos un alto índice en vacunación.</w:t>
      </w:r>
    </w:p>
    <w:p w:rsidR="00000000" w:rsidDel="00000000" w:rsidP="00000000" w:rsidRDefault="00000000" w:rsidRPr="00000000" w14:paraId="00000071">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977"/>
        </w:tabs>
        <w:spacing w:after="0" w:before="0" w:line="269" w:lineRule="auto"/>
        <w:ind w:left="977" w:right="0" w:hanging="356"/>
        <w:jc w:val="both"/>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Divulgación por las páginas Web de la Secretaria de Salud e IPS Vacunadoras</w:t>
      </w:r>
    </w:p>
    <w:p w:rsidR="00000000" w:rsidDel="00000000" w:rsidP="00000000" w:rsidRDefault="00000000" w:rsidRPr="00000000" w14:paraId="0000007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977"/>
          <w:tab w:val="left" w:leader="none" w:pos="979"/>
        </w:tabs>
        <w:spacing w:after="0" w:before="4" w:line="232" w:lineRule="auto"/>
        <w:ind w:left="979" w:right="616" w:hanging="358"/>
        <w:jc w:val="both"/>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contará con la estrategia “voz a voz”, con la participación de todos los colaboradores de las IPS.</w:t>
      </w:r>
    </w:p>
    <w:p w:rsidR="00000000" w:rsidDel="00000000" w:rsidP="00000000" w:rsidRDefault="00000000" w:rsidRPr="00000000" w14:paraId="00000073">
      <w:pPr>
        <w:tabs>
          <w:tab w:val="left" w:leader="none" w:pos="977"/>
          <w:tab w:val="left" w:leader="none" w:pos="979"/>
        </w:tabs>
        <w:spacing w:before="4" w:line="232" w:lineRule="auto"/>
        <w:ind w:right="616"/>
        <w:jc w:val="both"/>
        <w:rPr>
          <w:sz w:val="24"/>
          <w:szCs w:val="24"/>
        </w:rPr>
      </w:pPr>
      <w:r w:rsidDel="00000000" w:rsidR="00000000" w:rsidRPr="00000000">
        <w:rPr>
          <w:rtl w:val="0"/>
        </w:rPr>
      </w:r>
    </w:p>
    <w:p w:rsidR="00000000" w:rsidDel="00000000" w:rsidP="00000000" w:rsidRDefault="00000000" w:rsidRPr="00000000" w14:paraId="00000074">
      <w:pPr>
        <w:tabs>
          <w:tab w:val="left" w:leader="none" w:pos="977"/>
          <w:tab w:val="left" w:leader="none" w:pos="979"/>
        </w:tabs>
        <w:spacing w:before="4" w:line="232" w:lineRule="auto"/>
        <w:ind w:right="616"/>
        <w:jc w:val="both"/>
        <w:rPr>
          <w:sz w:val="24"/>
          <w:szCs w:val="24"/>
        </w:rPr>
      </w:pPr>
      <w:r w:rsidDel="00000000" w:rsidR="00000000" w:rsidRPr="00000000">
        <w:rPr>
          <w:rtl w:val="0"/>
        </w:rPr>
      </w:r>
    </w:p>
    <w:p w:rsidR="00000000" w:rsidDel="00000000" w:rsidP="00000000" w:rsidRDefault="00000000" w:rsidRPr="00000000" w14:paraId="00000075">
      <w:pPr>
        <w:widowControl w:val="1"/>
        <w:spacing w:after="280" w:before="280" w:lineRule="auto"/>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6"/>
          <w:szCs w:val="36"/>
          <w:rtl w:val="0"/>
        </w:rPr>
        <w:t xml:space="preserve">Población Objeto y Esquemas Aplicados</w:t>
      </w:r>
    </w:p>
    <w:tbl>
      <w:tblPr>
        <w:tblStyle w:val="Table2"/>
        <w:tblW w:w="97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3"/>
        <w:gridCol w:w="1212"/>
        <w:gridCol w:w="1195"/>
        <w:gridCol w:w="1201"/>
        <w:gridCol w:w="1222"/>
        <w:gridCol w:w="2897"/>
        <w:tblGridChange w:id="0">
          <w:tblGrid>
            <w:gridCol w:w="1983"/>
            <w:gridCol w:w="1212"/>
            <w:gridCol w:w="1195"/>
            <w:gridCol w:w="1201"/>
            <w:gridCol w:w="1222"/>
            <w:gridCol w:w="2897"/>
          </w:tblGrid>
        </w:tblGridChange>
      </w:tblGrid>
      <w:tr>
        <w:trPr>
          <w:cantSplit w:val="0"/>
          <w:tblHeader w:val="1"/>
        </w:trPr>
        <w:tc>
          <w:tcPr>
            <w:vAlign w:val="center"/>
          </w:tcPr>
          <w:p w:rsidR="00000000" w:rsidDel="00000000" w:rsidP="00000000" w:rsidRDefault="00000000" w:rsidRPr="00000000" w14:paraId="00000076">
            <w:pPr>
              <w:widowControl w:val="1"/>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Grupo Etario</w:t>
            </w:r>
          </w:p>
        </w:tc>
        <w:tc>
          <w:tcPr>
            <w:vAlign w:val="center"/>
          </w:tcPr>
          <w:p w:rsidR="00000000" w:rsidDel="00000000" w:rsidP="00000000" w:rsidRDefault="00000000" w:rsidRPr="00000000" w14:paraId="00000077">
            <w:pPr>
              <w:widowControl w:val="1"/>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Esquema Vacunal</w:t>
            </w:r>
          </w:p>
        </w:tc>
        <w:tc>
          <w:tcPr>
            <w:vAlign w:val="center"/>
          </w:tcPr>
          <w:p w:rsidR="00000000" w:rsidDel="00000000" w:rsidP="00000000" w:rsidRDefault="00000000" w:rsidRPr="00000000" w14:paraId="00000078">
            <w:pPr>
              <w:widowControl w:val="1"/>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Primera Dosis</w:t>
            </w:r>
          </w:p>
        </w:tc>
        <w:tc>
          <w:tcPr>
            <w:vAlign w:val="center"/>
          </w:tcPr>
          <w:p w:rsidR="00000000" w:rsidDel="00000000" w:rsidP="00000000" w:rsidRDefault="00000000" w:rsidRPr="00000000" w14:paraId="00000079">
            <w:pPr>
              <w:widowControl w:val="1"/>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Segunda Dosis</w:t>
            </w:r>
          </w:p>
        </w:tc>
        <w:tc>
          <w:tcPr>
            <w:vAlign w:val="center"/>
          </w:tcPr>
          <w:p w:rsidR="00000000" w:rsidDel="00000000" w:rsidP="00000000" w:rsidRDefault="00000000" w:rsidRPr="00000000" w14:paraId="0000007A">
            <w:pPr>
              <w:widowControl w:val="1"/>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Dosis Adicional</w:t>
            </w:r>
          </w:p>
        </w:tc>
        <w:tc>
          <w:tcPr>
            <w:vAlign w:val="center"/>
          </w:tcPr>
          <w:p w:rsidR="00000000" w:rsidDel="00000000" w:rsidP="00000000" w:rsidRDefault="00000000" w:rsidRPr="00000000" w14:paraId="0000007B">
            <w:pPr>
              <w:widowControl w:val="1"/>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Observaciones</w:t>
            </w:r>
          </w:p>
        </w:tc>
      </w:tr>
      <w:tr>
        <w:trPr>
          <w:cantSplit w:val="0"/>
          <w:tblHeader w:val="0"/>
        </w:trPr>
        <w:tc>
          <w:tcPr>
            <w:vAlign w:val="center"/>
          </w:tcPr>
          <w:p w:rsidR="00000000" w:rsidDel="00000000" w:rsidP="00000000" w:rsidRDefault="00000000" w:rsidRPr="00000000" w14:paraId="0000007C">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6 meses a 4 años</w:t>
            </w:r>
          </w:p>
        </w:tc>
        <w:tc>
          <w:tcPr>
            <w:vAlign w:val="center"/>
          </w:tcPr>
          <w:p w:rsidR="00000000" w:rsidDel="00000000" w:rsidP="00000000" w:rsidRDefault="00000000" w:rsidRPr="00000000" w14:paraId="0000007D">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Esquema primario</w:t>
            </w:r>
          </w:p>
        </w:tc>
        <w:tc>
          <w:tcPr>
            <w:vAlign w:val="center"/>
          </w:tcPr>
          <w:p w:rsidR="00000000" w:rsidDel="00000000" w:rsidP="00000000" w:rsidRDefault="00000000" w:rsidRPr="00000000" w14:paraId="0000007E">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7F">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80">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81">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Incluye vacunación iniciada desde los 6 meses con esquema completo</w:t>
            </w:r>
          </w:p>
        </w:tc>
      </w:tr>
      <w:tr>
        <w:trPr>
          <w:cantSplit w:val="0"/>
          <w:tblHeader w:val="0"/>
        </w:trPr>
        <w:tc>
          <w:tcPr>
            <w:vAlign w:val="center"/>
          </w:tcPr>
          <w:p w:rsidR="00000000" w:rsidDel="00000000" w:rsidP="00000000" w:rsidRDefault="00000000" w:rsidRPr="00000000" w14:paraId="00000082">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5 años a 11 años</w:t>
            </w:r>
          </w:p>
        </w:tc>
        <w:tc>
          <w:tcPr>
            <w:vAlign w:val="center"/>
          </w:tcPr>
          <w:p w:rsidR="00000000" w:rsidDel="00000000" w:rsidP="00000000" w:rsidRDefault="00000000" w:rsidRPr="00000000" w14:paraId="00000083">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Dosis adicional</w:t>
            </w:r>
          </w:p>
        </w:tc>
        <w:tc>
          <w:tcPr>
            <w:vAlign w:val="center"/>
          </w:tcPr>
          <w:p w:rsidR="00000000" w:rsidDel="00000000" w:rsidP="00000000" w:rsidRDefault="00000000" w:rsidRPr="00000000" w14:paraId="00000084">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85">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86">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87">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Refuerzos aplicados según lineamientos nacionales</w:t>
            </w:r>
          </w:p>
        </w:tc>
      </w:tr>
      <w:tr>
        <w:trPr>
          <w:cantSplit w:val="0"/>
          <w:tblHeader w:val="0"/>
        </w:trPr>
        <w:tc>
          <w:tcPr>
            <w:vAlign w:val="center"/>
          </w:tcPr>
          <w:p w:rsidR="00000000" w:rsidDel="00000000" w:rsidP="00000000" w:rsidRDefault="00000000" w:rsidRPr="00000000" w14:paraId="00000088">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12 a 59 años</w:t>
            </w:r>
          </w:p>
        </w:tc>
        <w:tc>
          <w:tcPr>
            <w:vAlign w:val="center"/>
          </w:tcPr>
          <w:p w:rsidR="00000000" w:rsidDel="00000000" w:rsidP="00000000" w:rsidRDefault="00000000" w:rsidRPr="00000000" w14:paraId="00000089">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Dosis adicional</w:t>
            </w:r>
          </w:p>
        </w:tc>
        <w:tc>
          <w:tcPr>
            <w:vAlign w:val="center"/>
          </w:tcPr>
          <w:p w:rsidR="00000000" w:rsidDel="00000000" w:rsidP="00000000" w:rsidRDefault="00000000" w:rsidRPr="00000000" w14:paraId="0000008A">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8B">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8C">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8D">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Incluye población sana sin comorbilidades</w:t>
            </w:r>
          </w:p>
        </w:tc>
      </w:tr>
      <w:tr>
        <w:trPr>
          <w:cantSplit w:val="0"/>
          <w:tblHeader w:val="0"/>
        </w:trPr>
        <w:tc>
          <w:tcPr>
            <w:vAlign w:val="center"/>
          </w:tcPr>
          <w:p w:rsidR="00000000" w:rsidDel="00000000" w:rsidP="00000000" w:rsidRDefault="00000000" w:rsidRPr="00000000" w14:paraId="0000008E">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Gestantes</w:t>
            </w:r>
          </w:p>
        </w:tc>
        <w:tc>
          <w:tcPr>
            <w:vAlign w:val="center"/>
          </w:tcPr>
          <w:p w:rsidR="00000000" w:rsidDel="00000000" w:rsidP="00000000" w:rsidRDefault="00000000" w:rsidRPr="00000000" w14:paraId="0000008F">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Dosis adicional</w:t>
            </w:r>
          </w:p>
        </w:tc>
        <w:tc>
          <w:tcPr>
            <w:vAlign w:val="center"/>
          </w:tcPr>
          <w:p w:rsidR="00000000" w:rsidDel="00000000" w:rsidP="00000000" w:rsidRDefault="00000000" w:rsidRPr="00000000" w14:paraId="00000090">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91">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92">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93">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Aplicación durante el segundo y tercer trimestre del embarazo</w:t>
            </w:r>
          </w:p>
        </w:tc>
      </w:tr>
      <w:tr>
        <w:trPr>
          <w:cantSplit w:val="0"/>
          <w:tblHeader w:val="0"/>
        </w:trPr>
        <w:tc>
          <w:tcPr>
            <w:vAlign w:val="center"/>
          </w:tcPr>
          <w:p w:rsidR="00000000" w:rsidDel="00000000" w:rsidP="00000000" w:rsidRDefault="00000000" w:rsidRPr="00000000" w14:paraId="00000094">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Mayores de 60 años</w:t>
            </w:r>
          </w:p>
        </w:tc>
        <w:tc>
          <w:tcPr>
            <w:vAlign w:val="center"/>
          </w:tcPr>
          <w:p w:rsidR="00000000" w:rsidDel="00000000" w:rsidP="00000000" w:rsidRDefault="00000000" w:rsidRPr="00000000" w14:paraId="00000095">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Dosis adicional</w:t>
            </w:r>
          </w:p>
        </w:tc>
        <w:tc>
          <w:tcPr>
            <w:vAlign w:val="center"/>
          </w:tcPr>
          <w:p w:rsidR="00000000" w:rsidDel="00000000" w:rsidP="00000000" w:rsidRDefault="00000000" w:rsidRPr="00000000" w14:paraId="00000096">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97">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98">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99">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Refuerzo aplicado a población priorizada</w:t>
            </w:r>
          </w:p>
        </w:tc>
      </w:tr>
      <w:tr>
        <w:trPr>
          <w:cantSplit w:val="0"/>
          <w:tblHeader w:val="0"/>
        </w:trPr>
        <w:tc>
          <w:tcPr>
            <w:vAlign w:val="center"/>
          </w:tcPr>
          <w:p w:rsidR="00000000" w:rsidDel="00000000" w:rsidP="00000000" w:rsidRDefault="00000000" w:rsidRPr="00000000" w14:paraId="0000009A">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Talento humano en salud</w:t>
            </w:r>
          </w:p>
        </w:tc>
        <w:tc>
          <w:tcPr>
            <w:vAlign w:val="center"/>
          </w:tcPr>
          <w:p w:rsidR="00000000" w:rsidDel="00000000" w:rsidP="00000000" w:rsidRDefault="00000000" w:rsidRPr="00000000" w14:paraId="0000009B">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Dosis adicional</w:t>
            </w:r>
          </w:p>
        </w:tc>
        <w:tc>
          <w:tcPr>
            <w:vAlign w:val="center"/>
          </w:tcPr>
          <w:p w:rsidR="00000000" w:rsidDel="00000000" w:rsidP="00000000" w:rsidRDefault="00000000" w:rsidRPr="00000000" w14:paraId="0000009C">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9D">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9E">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9F">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Incluye personal asistencial y administrativo en salud</w:t>
            </w:r>
          </w:p>
        </w:tc>
      </w:tr>
      <w:tr>
        <w:trPr>
          <w:cantSplit w:val="0"/>
          <w:tblHeader w:val="0"/>
        </w:trPr>
        <w:tc>
          <w:tcPr>
            <w:vAlign w:val="center"/>
          </w:tcPr>
          <w:p w:rsidR="00000000" w:rsidDel="00000000" w:rsidP="00000000" w:rsidRDefault="00000000" w:rsidRPr="00000000" w14:paraId="000000A0">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12 a 59 años con comorbilidades</w:t>
            </w:r>
          </w:p>
        </w:tc>
        <w:tc>
          <w:tcPr>
            <w:vAlign w:val="center"/>
          </w:tcPr>
          <w:p w:rsidR="00000000" w:rsidDel="00000000" w:rsidP="00000000" w:rsidRDefault="00000000" w:rsidRPr="00000000" w14:paraId="000000A1">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Dosis adicional</w:t>
            </w:r>
          </w:p>
        </w:tc>
        <w:tc>
          <w:tcPr>
            <w:vAlign w:val="center"/>
          </w:tcPr>
          <w:p w:rsidR="00000000" w:rsidDel="00000000" w:rsidP="00000000" w:rsidRDefault="00000000" w:rsidRPr="00000000" w14:paraId="000000A2">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A3">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c>
          <w:tcPr>
            <w:vAlign w:val="center"/>
          </w:tcPr>
          <w:p w:rsidR="00000000" w:rsidDel="00000000" w:rsidP="00000000" w:rsidRDefault="00000000" w:rsidRPr="00000000" w14:paraId="000000A4">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[Cantidad]</w:t>
            </w:r>
          </w:p>
        </w:tc>
        <w:tc>
          <w:tcPr>
            <w:vAlign w:val="center"/>
          </w:tcPr>
          <w:p w:rsidR="00000000" w:rsidDel="00000000" w:rsidP="00000000" w:rsidRDefault="00000000" w:rsidRPr="00000000" w14:paraId="000000A5">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Incluye enfermedades crónicas, inmunosupresión, entre otras condiciones</w:t>
            </w:r>
          </w:p>
        </w:tc>
      </w:tr>
    </w:tbl>
    <w:p w:rsidR="00000000" w:rsidDel="00000000" w:rsidP="00000000" w:rsidRDefault="00000000" w:rsidRPr="00000000" w14:paraId="000000A6">
      <w:pPr>
        <w:tabs>
          <w:tab w:val="left" w:leader="none" w:pos="979"/>
        </w:tabs>
        <w:ind w:right="956"/>
        <w:rPr>
          <w:sz w:val="24"/>
          <w:szCs w:val="24"/>
        </w:rPr>
      </w:pPr>
      <w:r w:rsidDel="00000000" w:rsidR="00000000" w:rsidRPr="00000000">
        <w:rPr>
          <w:rtl w:val="0"/>
        </w:rPr>
      </w:r>
    </w:p>
    <w:p w:rsidR="00000000" w:rsidDel="00000000" w:rsidP="00000000" w:rsidRDefault="00000000" w:rsidRPr="00000000" w14:paraId="000000A7">
      <w:pPr>
        <w:tabs>
          <w:tab w:val="left" w:leader="none" w:pos="979"/>
        </w:tabs>
        <w:ind w:right="956"/>
        <w:rPr>
          <w:sz w:val="24"/>
          <w:szCs w:val="24"/>
        </w:rPr>
      </w:pPr>
      <w:r w:rsidDel="00000000" w:rsidR="00000000" w:rsidRPr="00000000">
        <w:rPr>
          <w:rtl w:val="0"/>
        </w:rPr>
      </w:r>
    </w:p>
    <w:p w:rsidR="00000000" w:rsidDel="00000000" w:rsidP="00000000" w:rsidRDefault="00000000" w:rsidRPr="00000000" w14:paraId="000000A8">
      <w:pPr>
        <w:tabs>
          <w:tab w:val="left" w:leader="none" w:pos="979"/>
        </w:tabs>
        <w:ind w:right="956"/>
        <w:rPr>
          <w:sz w:val="24"/>
          <w:szCs w:val="24"/>
        </w:rPr>
      </w:pPr>
      <w:r w:rsidDel="00000000" w:rsidR="00000000" w:rsidRPr="00000000">
        <w:rPr>
          <w:rtl w:val="0"/>
        </w:rPr>
      </w:r>
    </w:p>
    <w:p w:rsidR="00000000" w:rsidDel="00000000" w:rsidP="00000000" w:rsidRDefault="00000000" w:rsidRPr="00000000" w14:paraId="000000A9">
      <w:pPr>
        <w:tabs>
          <w:tab w:val="left" w:leader="none" w:pos="979"/>
        </w:tabs>
        <w:ind w:right="956"/>
        <w:rPr>
          <w:sz w:val="24"/>
          <w:szCs w:val="24"/>
        </w:rPr>
      </w:pPr>
      <w:r w:rsidDel="00000000" w:rsidR="00000000" w:rsidRPr="00000000">
        <w:rPr>
          <w:rtl w:val="0"/>
        </w:rPr>
      </w:r>
    </w:p>
    <w:p w:rsidR="00000000" w:rsidDel="00000000" w:rsidP="00000000" w:rsidRDefault="00000000" w:rsidRPr="00000000" w14:paraId="000000AA">
      <w:pPr>
        <w:tabs>
          <w:tab w:val="left" w:leader="none" w:pos="979"/>
        </w:tabs>
        <w:ind w:right="956"/>
        <w:rPr>
          <w:sz w:val="24"/>
          <w:szCs w:val="24"/>
        </w:rPr>
      </w:pP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255" w:line="240" w:lineRule="auto"/>
        <w:ind w:left="1015" w:right="0" w:hanging="335.99999999999994"/>
        <w:jc w:val="left"/>
        <w:rPr>
          <w:smallCaps w:val="0"/>
          <w:strike w:val="0"/>
          <w:color w:val="000000"/>
          <w:u w:val="none"/>
          <w:shd w:fill="auto" w:val="clear"/>
          <w:vertAlign w:val="baseline"/>
        </w:rPr>
      </w:pPr>
      <w:bookmarkStart w:colFirst="0" w:colLast="0" w:name="_l63no3hrgxq0" w:id="3"/>
      <w:bookmarkEnd w:id="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COBERTURAS DE VACUNACIÓN DOSIS APLICADAS 2024</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hanging="2149"/>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7461480" cy="2220440"/>
            <wp:effectExtent b="0" l="0" r="0" t="0"/>
            <wp:docPr id="1"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7461480" cy="2220440"/>
                    </a:xfrm>
                    <a:prstGeom prst="rect"/>
                    <a:ln/>
                  </pic:spPr>
                </pic:pic>
              </a:graphicData>
            </a:graphic>
          </wp:inline>
        </w:drawing>
      </w: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pPr w:leftFromText="141" w:rightFromText="141" w:topFromText="0" w:bottomFromText="0" w:vertAnchor="text" w:horzAnchor="text" w:tblpX="0" w:tblpY="0"/>
        <w:tblW w:w="10110.0" w:type="dxa"/>
        <w:jc w:val="left"/>
        <w:tblLayout w:type="fixed"/>
        <w:tblLook w:val="0400"/>
      </w:tblPr>
      <w:tblGrid>
        <w:gridCol w:w="2812"/>
        <w:gridCol w:w="4661"/>
        <w:gridCol w:w="2491"/>
        <w:gridCol w:w="146"/>
        <w:tblGridChange w:id="0">
          <w:tblGrid>
            <w:gridCol w:w="2812"/>
            <w:gridCol w:w="4661"/>
            <w:gridCol w:w="2491"/>
            <w:gridCol w:w="146"/>
          </w:tblGrid>
        </w:tblGridChange>
      </w:tblGrid>
      <w:tr>
        <w:trPr>
          <w:cantSplit w:val="0"/>
          <w:trHeight w:val="300" w:hRule="atLeast"/>
          <w:tblHeader w:val="0"/>
        </w:trPr>
        <w:tc>
          <w:tcPr>
            <w:vMerge w:val="restart"/>
            <w:tcBorders>
              <w:top w:color="000000" w:space="0" w:sz="8" w:val="single"/>
              <w:left w:color="000000" w:space="0" w:sz="8" w:val="single"/>
              <w:bottom w:color="000000" w:space="0" w:sz="8" w:val="single"/>
              <w:right w:color="000000" w:space="0" w:sz="4" w:val="single"/>
            </w:tcBorders>
            <w:shd w:fill="c0c0c0" w:val="clear"/>
            <w:vAlign w:val="center"/>
          </w:tcPr>
          <w:p w:rsidR="00000000" w:rsidDel="00000000" w:rsidP="00000000" w:rsidRDefault="00000000" w:rsidRPr="00000000" w14:paraId="000000AF">
            <w:pPr>
              <w:ind w:hanging="80"/>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ENTIDAD</w:t>
            </w:r>
          </w:p>
        </w:tc>
        <w:tc>
          <w:tcPr>
            <w:vMerge w:val="restart"/>
            <w:tcBorders>
              <w:top w:color="000000" w:space="0" w:sz="8" w:val="single"/>
              <w:left w:color="000000" w:space="0" w:sz="4" w:val="single"/>
              <w:bottom w:color="000000" w:space="0" w:sz="8" w:val="single"/>
              <w:right w:color="000000" w:space="0" w:sz="4" w:val="single"/>
            </w:tcBorders>
            <w:shd w:fill="c0c0c0" w:val="clear"/>
            <w:vAlign w:val="center"/>
          </w:tcPr>
          <w:p w:rsidR="00000000" w:rsidDel="00000000" w:rsidP="00000000" w:rsidRDefault="00000000" w:rsidRPr="00000000" w14:paraId="000000B0">
            <w:pPr>
              <w:widowControl w:val="1"/>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IPS A REPORTAR</w:t>
            </w:r>
          </w:p>
        </w:tc>
        <w:tc>
          <w:tcPr>
            <w:vMerge w:val="restart"/>
            <w:tcBorders>
              <w:top w:color="000000" w:space="0" w:sz="8" w:val="single"/>
              <w:left w:color="000000" w:space="0" w:sz="4" w:val="single"/>
              <w:bottom w:color="000000" w:space="0" w:sz="8" w:val="single"/>
              <w:right w:color="000000" w:space="0" w:sz="4" w:val="single"/>
            </w:tcBorders>
            <w:shd w:fill="d0cece" w:val="clear"/>
            <w:vAlign w:val="center"/>
          </w:tcPr>
          <w:p w:rsidR="00000000" w:rsidDel="00000000" w:rsidP="00000000" w:rsidRDefault="00000000" w:rsidRPr="00000000" w14:paraId="000000B1">
            <w:pPr>
              <w:widowControl w:val="1"/>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Vacunas aplicadas por IPS 2024</w:t>
            </w:r>
          </w:p>
        </w:tc>
      </w:tr>
      <w:tr>
        <w:trPr>
          <w:cantSplit w:val="0"/>
          <w:trHeight w:val="300" w:hRule="atLeast"/>
          <w:tblHeader w:val="0"/>
        </w:trPr>
        <w:tc>
          <w:tcPr>
            <w:vMerge w:val="continue"/>
            <w:tcBorders>
              <w:top w:color="000000" w:space="0" w:sz="8" w:val="single"/>
              <w:left w:color="000000" w:space="0" w:sz="8" w:val="single"/>
              <w:bottom w:color="000000" w:space="0" w:sz="8" w:val="single"/>
              <w:right w:color="000000" w:space="0" w:sz="4" w:val="single"/>
            </w:tcBorders>
            <w:shd w:fill="c0c0c0" w:val="clear"/>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shd w:fill="c0c0c0" w:val="clear"/>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shd w:fill="d0cece" w:val="clea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B5">
            <w:pPr>
              <w:widowControl w:val="1"/>
              <w:jc w:val="center"/>
              <w:rPr>
                <w:rFonts w:ascii="Arial" w:cs="Arial" w:eastAsia="Arial" w:hAnsi="Arial"/>
                <w:b w:val="1"/>
                <w:bCs w:val="1"/>
                <w:color w:val="00000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B6">
            <w:pPr>
              <w:widowControl w:val="1"/>
              <w:ind w:hanging="8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1. EAPB COMFENALCO</w:t>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B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CISVIDA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214</w:t>
            </w:r>
          </w:p>
        </w:tc>
        <w:tc>
          <w:tcPr>
            <w:vAlign w:val="center"/>
          </w:tcPr>
          <w:p w:rsidR="00000000" w:rsidDel="00000000" w:rsidP="00000000" w:rsidRDefault="00000000" w:rsidRPr="00000000" w14:paraId="000000B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B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SERINSA IPS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111</w:t>
            </w:r>
          </w:p>
        </w:tc>
        <w:tc>
          <w:tcPr>
            <w:vAlign w:val="center"/>
          </w:tcPr>
          <w:p w:rsidR="00000000" w:rsidDel="00000000" w:rsidP="00000000" w:rsidRDefault="00000000" w:rsidRPr="00000000" w14:paraId="000000B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B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SERSALUD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111</w:t>
            </w:r>
          </w:p>
        </w:tc>
        <w:tc>
          <w:tcPr>
            <w:vAlign w:val="center"/>
          </w:tcPr>
          <w:p w:rsidR="00000000" w:rsidDel="00000000" w:rsidP="00000000" w:rsidRDefault="00000000" w:rsidRPr="00000000" w14:paraId="000000C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C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IPS SERVIMEC QUIRON RIO CAUCA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218</w:t>
            </w:r>
          </w:p>
        </w:tc>
        <w:tc>
          <w:tcPr>
            <w:vAlign w:val="center"/>
          </w:tcPr>
          <w:p w:rsidR="00000000" w:rsidDel="00000000" w:rsidP="00000000" w:rsidRDefault="00000000" w:rsidRPr="00000000" w14:paraId="000000C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C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IDIME CAMBULOS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94</w:t>
            </w:r>
          </w:p>
        </w:tc>
        <w:tc>
          <w:tcPr>
            <w:vAlign w:val="center"/>
          </w:tcPr>
          <w:p w:rsidR="00000000" w:rsidDel="00000000" w:rsidP="00000000" w:rsidRDefault="00000000" w:rsidRPr="00000000" w14:paraId="000000C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widowControl w:val="1"/>
              <w:ind w:hanging="8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2. EAPB NUEVA EPS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ANGIOGRAFIA DE OCCIDENTE S.A VILLACOLOMBIA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210</w:t>
            </w:r>
          </w:p>
        </w:tc>
        <w:tc>
          <w:tcPr>
            <w:vAlign w:val="center"/>
          </w:tcPr>
          <w:p w:rsidR="00000000" w:rsidDel="00000000" w:rsidP="00000000" w:rsidRDefault="00000000" w:rsidRPr="00000000" w14:paraId="000000C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ANGIOGRAFIA DE OCCIDENTE S.A CAPITOLIO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138</w:t>
            </w:r>
          </w:p>
        </w:tc>
        <w:tc>
          <w:tcPr>
            <w:vAlign w:val="center"/>
          </w:tcPr>
          <w:p w:rsidR="00000000" w:rsidDel="00000000" w:rsidP="00000000" w:rsidRDefault="00000000" w:rsidRPr="00000000" w14:paraId="000000D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ANGIOGRAFIA DE OCCIDENTE S.A VASQUEZ COBO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vAlign w:val="center"/>
          </w:tcPr>
          <w:p w:rsidR="00000000" w:rsidDel="00000000" w:rsidP="00000000" w:rsidRDefault="00000000" w:rsidRPr="00000000" w14:paraId="000000D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IDIME S.A. CALI LA PRIMERA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vAlign w:val="center"/>
          </w:tcPr>
          <w:p w:rsidR="00000000" w:rsidDel="00000000" w:rsidP="00000000" w:rsidRDefault="00000000" w:rsidRPr="00000000" w14:paraId="000000D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VIVA 1A CAMBULOS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1019</w:t>
            </w:r>
          </w:p>
        </w:tc>
        <w:tc>
          <w:tcPr>
            <w:vAlign w:val="center"/>
          </w:tcPr>
          <w:p w:rsidR="00000000" w:rsidDel="00000000" w:rsidP="00000000" w:rsidRDefault="00000000" w:rsidRPr="00000000" w14:paraId="000000D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MEDICIPS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87</w:t>
            </w:r>
          </w:p>
        </w:tc>
        <w:tc>
          <w:tcPr>
            <w:vAlign w:val="center"/>
          </w:tcPr>
          <w:p w:rsidR="00000000" w:rsidDel="00000000" w:rsidP="00000000" w:rsidRDefault="00000000" w:rsidRPr="00000000" w14:paraId="000000E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E2">
            <w:pPr>
              <w:widowControl w:val="1"/>
              <w:ind w:hanging="80"/>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3. EAPB SANITAS</w:t>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E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CENTRO MEDICO FLORA INDUSTRIAL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275</w:t>
            </w:r>
          </w:p>
        </w:tc>
        <w:tc>
          <w:tcPr>
            <w:vAlign w:val="center"/>
          </w:tcPr>
          <w:p w:rsidR="00000000" w:rsidDel="00000000" w:rsidP="00000000" w:rsidRDefault="00000000" w:rsidRPr="00000000" w14:paraId="000000E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E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CENTRO CARRERA 43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677</w:t>
            </w:r>
          </w:p>
        </w:tc>
        <w:tc>
          <w:tcPr>
            <w:vAlign w:val="center"/>
          </w:tcPr>
          <w:p w:rsidR="00000000" w:rsidDel="00000000" w:rsidP="00000000" w:rsidRDefault="00000000" w:rsidRPr="00000000" w14:paraId="000000E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E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CENTRO MEDICO VERSALLES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520</w:t>
            </w:r>
          </w:p>
        </w:tc>
        <w:tc>
          <w:tcPr>
            <w:vAlign w:val="center"/>
          </w:tcPr>
          <w:p w:rsidR="00000000" w:rsidDel="00000000" w:rsidP="00000000" w:rsidRDefault="00000000" w:rsidRPr="00000000" w14:paraId="000000E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0E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VIVIR SANITAS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0F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2">
            <w:pPr>
              <w:widowControl w:val="1"/>
              <w:ind w:hanging="8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4. EAPB SURA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CENTRO MEDICO COLSUBSIDIO NORTE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180</w:t>
            </w:r>
          </w:p>
        </w:tc>
        <w:tc>
          <w:tcPr>
            <w:vAlign w:val="center"/>
          </w:tcPr>
          <w:p w:rsidR="00000000" w:rsidDel="00000000" w:rsidP="00000000" w:rsidRDefault="00000000" w:rsidRPr="00000000" w14:paraId="000000F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CHIPICHAPE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314</w:t>
            </w:r>
          </w:p>
        </w:tc>
        <w:tc>
          <w:tcPr>
            <w:vAlign w:val="center"/>
          </w:tcPr>
          <w:p w:rsidR="00000000" w:rsidDel="00000000" w:rsidP="00000000" w:rsidRDefault="00000000" w:rsidRPr="00000000" w14:paraId="000000F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LA FLORA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227</w:t>
            </w:r>
          </w:p>
        </w:tc>
        <w:tc>
          <w:tcPr>
            <w:vAlign w:val="center"/>
          </w:tcPr>
          <w:p w:rsidR="00000000" w:rsidDel="00000000" w:rsidP="00000000" w:rsidRDefault="00000000" w:rsidRPr="00000000" w14:paraId="000000F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PASOANCHO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158</w:t>
            </w:r>
          </w:p>
        </w:tc>
        <w:tc>
          <w:tcPr>
            <w:vAlign w:val="center"/>
          </w:tcPr>
          <w:p w:rsidR="00000000" w:rsidDel="00000000" w:rsidP="00000000" w:rsidRDefault="00000000" w:rsidRPr="00000000" w14:paraId="0000010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TEQUENDAMA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398</w:t>
            </w:r>
          </w:p>
        </w:tc>
        <w:tc>
          <w:tcPr>
            <w:vAlign w:val="center"/>
          </w:tcPr>
          <w:p w:rsidR="00000000" w:rsidDel="00000000" w:rsidP="00000000" w:rsidRDefault="00000000" w:rsidRPr="00000000" w14:paraId="0000010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VIVIR NORTE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10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SINERGIA CENTRO SUR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116</w:t>
            </w:r>
          </w:p>
        </w:tc>
        <w:tc>
          <w:tcPr>
            <w:vAlign w:val="center"/>
          </w:tcPr>
          <w:p w:rsidR="00000000" w:rsidDel="00000000" w:rsidP="00000000" w:rsidRDefault="00000000" w:rsidRPr="00000000" w14:paraId="0000010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AVENTURA PLAZA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281</w:t>
            </w:r>
          </w:p>
        </w:tc>
        <w:tc>
          <w:tcPr>
            <w:vAlign w:val="center"/>
          </w:tcPr>
          <w:p w:rsidR="00000000" w:rsidDel="00000000" w:rsidP="00000000" w:rsidRDefault="00000000" w:rsidRPr="00000000" w14:paraId="0000011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12">
            <w:pPr>
              <w:widowControl w:val="1"/>
              <w:ind w:hanging="8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5. EAPB SALUD TOTAL</w:t>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1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VIRREY SOLIS ORIENTE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146</w:t>
            </w:r>
          </w:p>
        </w:tc>
        <w:tc>
          <w:tcPr>
            <w:vAlign w:val="center"/>
          </w:tcPr>
          <w:p w:rsidR="00000000" w:rsidDel="00000000" w:rsidP="00000000" w:rsidRDefault="00000000" w:rsidRPr="00000000" w14:paraId="0000011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1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VIRREY SOLIS UNICENTRO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126</w:t>
            </w:r>
          </w:p>
        </w:tc>
        <w:tc>
          <w:tcPr>
            <w:vAlign w:val="center"/>
          </w:tcPr>
          <w:p w:rsidR="00000000" w:rsidDel="00000000" w:rsidP="00000000" w:rsidRDefault="00000000" w:rsidRPr="00000000" w14:paraId="0000011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1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VIRREY SOLIS VERSALLES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331</w:t>
            </w:r>
          </w:p>
        </w:tc>
        <w:tc>
          <w:tcPr>
            <w:vAlign w:val="center"/>
          </w:tcPr>
          <w:p w:rsidR="00000000" w:rsidDel="00000000" w:rsidP="00000000" w:rsidRDefault="00000000" w:rsidRPr="00000000" w14:paraId="0000011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E">
            <w:pPr>
              <w:widowControl w:val="1"/>
              <w:ind w:hanging="8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6. EAPB SOS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COMFANDI MORICHAL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12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COMFANDI TEQUENDAMA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12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COMFANDI TORRES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686</w:t>
            </w:r>
          </w:p>
        </w:tc>
        <w:tc>
          <w:tcPr>
            <w:vAlign w:val="center"/>
          </w:tcPr>
          <w:p w:rsidR="00000000" w:rsidDel="00000000" w:rsidP="00000000" w:rsidRDefault="00000000" w:rsidRPr="00000000" w14:paraId="0000012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2A">
            <w:pPr>
              <w:widowControl w:val="1"/>
              <w:ind w:hanging="8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7. REGIMEN ESPECIAL</w:t>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2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EAPB EMAVI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150</w:t>
            </w:r>
          </w:p>
        </w:tc>
        <w:tc>
          <w:tcPr>
            <w:vAlign w:val="center"/>
          </w:tcPr>
          <w:p w:rsidR="00000000" w:rsidDel="00000000" w:rsidP="00000000" w:rsidRDefault="00000000" w:rsidRPr="00000000" w14:paraId="0000012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2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EAPB HOMRO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65</w:t>
            </w:r>
          </w:p>
        </w:tc>
        <w:tc>
          <w:tcPr>
            <w:vAlign w:val="center"/>
          </w:tcPr>
          <w:p w:rsidR="00000000" w:rsidDel="00000000" w:rsidP="00000000" w:rsidRDefault="00000000" w:rsidRPr="00000000" w14:paraId="0000013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3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APB POLICIA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96</w:t>
            </w:r>
          </w:p>
        </w:tc>
        <w:tc>
          <w:tcPr>
            <w:vAlign w:val="center"/>
          </w:tcPr>
          <w:p w:rsidR="00000000" w:rsidDel="00000000" w:rsidP="00000000" w:rsidRDefault="00000000" w:rsidRPr="00000000" w14:paraId="0000013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6">
            <w:pPr>
              <w:widowControl w:val="1"/>
              <w:ind w:hanging="8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8. ESE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ESE CENTRO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1348</w:t>
            </w:r>
          </w:p>
        </w:tc>
        <w:tc>
          <w:tcPr>
            <w:vAlign w:val="center"/>
          </w:tcPr>
          <w:p w:rsidR="00000000" w:rsidDel="00000000" w:rsidP="00000000" w:rsidRDefault="00000000" w:rsidRPr="00000000" w14:paraId="0000013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3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ESE LADERA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3753</w:t>
            </w:r>
          </w:p>
        </w:tc>
        <w:tc>
          <w:tcPr>
            <w:vAlign w:val="center"/>
          </w:tcPr>
          <w:p w:rsidR="00000000" w:rsidDel="00000000" w:rsidP="00000000" w:rsidRDefault="00000000" w:rsidRPr="00000000" w14:paraId="0000013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ESE NORTE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2403</w:t>
            </w:r>
          </w:p>
        </w:tc>
        <w:tc>
          <w:tcPr>
            <w:vAlign w:val="center"/>
          </w:tcPr>
          <w:p w:rsidR="00000000" w:rsidDel="00000000" w:rsidP="00000000" w:rsidRDefault="00000000" w:rsidRPr="00000000" w14:paraId="0000014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4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ESE ORIENTE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1068</w:t>
            </w:r>
          </w:p>
        </w:tc>
        <w:tc>
          <w:tcPr>
            <w:vAlign w:val="center"/>
          </w:tcPr>
          <w:p w:rsidR="00000000" w:rsidDel="00000000" w:rsidP="00000000" w:rsidRDefault="00000000" w:rsidRPr="00000000" w14:paraId="0000014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ESE SURORIENTE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686</w:t>
            </w:r>
          </w:p>
        </w:tc>
        <w:tc>
          <w:tcPr>
            <w:vAlign w:val="center"/>
          </w:tcPr>
          <w:p w:rsidR="00000000" w:rsidDel="00000000" w:rsidP="00000000" w:rsidRDefault="00000000" w:rsidRPr="00000000" w14:paraId="0000014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4A">
            <w:pPr>
              <w:widowControl w:val="1"/>
              <w:ind w:hanging="8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9. IPS PARTICULARES</w:t>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4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IPS AMISALUD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77</w:t>
            </w:r>
          </w:p>
        </w:tc>
        <w:tc>
          <w:tcPr>
            <w:vAlign w:val="center"/>
          </w:tcPr>
          <w:p w:rsidR="00000000" w:rsidDel="00000000" w:rsidP="00000000" w:rsidRDefault="00000000" w:rsidRPr="00000000" w14:paraId="0000014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IPS FUNDACION VALLE DE LILI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15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VIVA CRA 80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344</w:t>
            </w:r>
          </w:p>
        </w:tc>
        <w:tc>
          <w:tcPr>
            <w:vAlign w:val="center"/>
          </w:tcPr>
          <w:p w:rsidR="00000000" w:rsidDel="00000000" w:rsidP="00000000" w:rsidRDefault="00000000" w:rsidRPr="00000000" w14:paraId="0000015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5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COSMITET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108</w:t>
            </w:r>
          </w:p>
        </w:tc>
        <w:tc>
          <w:tcPr>
            <w:vAlign w:val="center"/>
          </w:tcPr>
          <w:p w:rsidR="00000000" w:rsidDel="00000000" w:rsidP="00000000" w:rsidRDefault="00000000" w:rsidRPr="00000000" w14:paraId="0000015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5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VACUNSALUD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246</w:t>
            </w:r>
          </w:p>
        </w:tc>
        <w:tc>
          <w:tcPr>
            <w:vAlign w:val="center"/>
          </w:tcPr>
          <w:p w:rsidR="00000000" w:rsidDel="00000000" w:rsidP="00000000" w:rsidRDefault="00000000" w:rsidRPr="00000000" w14:paraId="0000015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5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IPS PREVENTIVA FARALLONES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16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63">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VACUNCENTER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4">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165">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67">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DARPACOL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8">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169">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dd6ee" w:val="clear"/>
            <w:vAlign w:val="center"/>
          </w:tcPr>
          <w:p w:rsidR="00000000" w:rsidDel="00000000" w:rsidP="00000000" w:rsidRDefault="00000000" w:rsidRPr="00000000" w14:paraId="0000016B">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VACUNATE SAS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C">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vAlign w:val="center"/>
          </w:tcPr>
          <w:p w:rsidR="00000000" w:rsidDel="00000000" w:rsidP="00000000" w:rsidRDefault="00000000" w:rsidRPr="00000000" w14:paraId="0000016D">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F">
            <w:pPr>
              <w:widowControl w:val="1"/>
              <w:rPr>
                <w:rFonts w:ascii="Calibri" w:cs="Calibri" w:eastAsia="Calibri" w:hAnsi="Calibri"/>
                <w:color w:val="000000"/>
              </w:rPr>
            </w:pPr>
            <w:r w:rsidDel="00000000" w:rsidR="00000000" w:rsidRPr="00000000">
              <w:rPr>
                <w:rFonts w:ascii="Calibri" w:cs="Calibri" w:eastAsia="Calibri" w:hAnsi="Calibri"/>
                <w:color w:val="000000"/>
                <w:rtl w:val="0"/>
              </w:rPr>
              <w:t xml:space="preserve">IPS SAN JUAN DE DIOS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0">
            <w:pPr>
              <w:widowControl w:val="1"/>
              <w:jc w:val="right"/>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vAlign w:val="center"/>
          </w:tcPr>
          <w:p w:rsidR="00000000" w:rsidDel="00000000" w:rsidP="00000000" w:rsidRDefault="00000000" w:rsidRPr="00000000" w14:paraId="00000171">
            <w:pPr>
              <w:widowControl w:val="1"/>
              <w:rPr>
                <w:rFonts w:ascii="Times New Roman" w:cs="Times New Roman" w:eastAsia="Times New Roman" w:hAnsi="Times New Roman"/>
                <w:sz w:val="20"/>
                <w:szCs w:val="20"/>
              </w:rPr>
            </w:pPr>
            <w:r w:rsidDel="00000000" w:rsidR="00000000" w:rsidRPr="00000000">
              <w:rPr>
                <w:rtl w:val="0"/>
              </w:rPr>
            </w:r>
          </w:p>
        </w:tc>
      </w:tr>
      <w:tr>
        <w:trPr>
          <w:cantSplit w:val="0"/>
          <w:trHeight w:val="31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72">
            <w:pPr>
              <w:widowControl w:val="1"/>
              <w:ind w:hanging="80"/>
              <w:jc w:val="right"/>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73">
            <w:pPr>
              <w:widowControl w:val="1"/>
              <w:rPr>
                <w:rFonts w:ascii="Times New Roman" w:cs="Times New Roman" w:eastAsia="Times New Roman" w:hAnsi="Times New Roman"/>
                <w:sz w:val="20"/>
                <w:szCs w:val="20"/>
              </w:rPr>
            </w:pPr>
            <w:r w:rsidDel="00000000" w:rsidR="00000000" w:rsidRPr="00000000">
              <w:rPr>
                <w:rtl w:val="0"/>
              </w:rPr>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174">
            <w:pPr>
              <w:widowControl w:val="1"/>
              <w:jc w:val="right"/>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17015</w:t>
            </w:r>
          </w:p>
        </w:tc>
        <w:tc>
          <w:tcPr>
            <w:vAlign w:val="center"/>
          </w:tcPr>
          <w:p w:rsidR="00000000" w:rsidDel="00000000" w:rsidP="00000000" w:rsidRDefault="00000000" w:rsidRPr="00000000" w14:paraId="00000175">
            <w:pPr>
              <w:widowControl w:val="1"/>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A">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Conclusiones – Dosis Aplicadas 2024</w:t>
      </w:r>
    </w:p>
    <w:p w:rsidR="00000000" w:rsidDel="00000000" w:rsidP="00000000" w:rsidRDefault="00000000" w:rsidRPr="00000000" w14:paraId="0000017B">
      <w:pPr>
        <w:widowControl w:val="1"/>
        <w:numPr>
          <w:ilvl w:val="0"/>
          <w:numId w:val="5"/>
        </w:numPr>
        <w:spacing w:after="0" w:before="2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Durante el año 2024, la ciudad de Santiago de Cali mantuvo una cobertura aceptable en la aplicación de dosis adicionales contra COVID-19 en los grupos priorizados, especialmente en mayores de 60 años y talento humano en salud.</w:t>
      </w:r>
    </w:p>
    <w:p w:rsidR="00000000" w:rsidDel="00000000" w:rsidP="00000000" w:rsidRDefault="00000000" w:rsidRPr="00000000" w14:paraId="0000017C">
      <w:pPr>
        <w:widowControl w:val="1"/>
        <w:numPr>
          <w:ilvl w:val="0"/>
          <w:numId w:val="5"/>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 evidenció un incremento en la captación de menores de 6 meses a 4 años, aunque persistieron desafíos logísticos para asegurar el esquema completo (primera, segunda y dosis adicional).</w:t>
      </w:r>
    </w:p>
    <w:p w:rsidR="00000000" w:rsidDel="00000000" w:rsidP="00000000" w:rsidRDefault="00000000" w:rsidRPr="00000000" w14:paraId="0000017D">
      <w:pPr>
        <w:widowControl w:val="1"/>
        <w:numPr>
          <w:ilvl w:val="0"/>
          <w:numId w:val="5"/>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El grupo de 12 a 59 años con comorbilidades mostró una buena respuesta frente a las estrategias de priorización, alcanzando coberturas útiles en la mayoría de las IPS.</w:t>
      </w:r>
    </w:p>
    <w:p w:rsidR="00000000" w:rsidDel="00000000" w:rsidP="00000000" w:rsidRDefault="00000000" w:rsidRPr="00000000" w14:paraId="0000017E">
      <w:pPr>
        <w:widowControl w:val="1"/>
        <w:numPr>
          <w:ilvl w:val="0"/>
          <w:numId w:val="5"/>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 demanda voluntaria de dosis adicionales fue inferior en el grupo de adultos jóvenes sin comorbilidades, lo que refleja una percepción baja de riesgo y representa un reto comunicacional.</w:t>
      </w:r>
    </w:p>
    <w:p w:rsidR="00000000" w:rsidDel="00000000" w:rsidP="00000000" w:rsidRDefault="00000000" w:rsidRPr="00000000" w14:paraId="0000017F">
      <w:pPr>
        <w:widowControl w:val="1"/>
        <w:numPr>
          <w:ilvl w:val="0"/>
          <w:numId w:val="5"/>
        </w:numPr>
        <w:spacing w:after="28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 red de 150 IPS vacunadoras activas permitió mantener el acceso sostenido a biológicos a lo largo del año, gracias a una distribución eficiente de recursos y coordinación entre instituciones.</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 w:line="240" w:lineRule="auto"/>
        <w:ind w:left="1015"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255" w:line="240" w:lineRule="auto"/>
        <w:ind w:left="1015" w:right="0" w:hanging="335.99999999999994"/>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COBERTURA DE VACUNACIÓN DOSIS APLICADAS 2025</w:t>
      </w:r>
    </w:p>
    <w:p w:rsidR="00000000" w:rsidDel="00000000" w:rsidP="00000000" w:rsidRDefault="00000000" w:rsidRPr="00000000" w14:paraId="0000018C">
      <w:pPr>
        <w:rPr>
          <w:b w:val="1"/>
          <w:bCs w:val="1"/>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ind w:hanging="426"/>
        <w:rPr/>
      </w:pPr>
      <w:r w:rsidDel="00000000" w:rsidR="00000000" w:rsidRPr="00000000">
        <w:rPr/>
        <w:drawing>
          <wp:inline distB="0" distT="0" distL="0" distR="0">
            <wp:extent cx="6343650" cy="1533525"/>
            <wp:effectExtent b="0" l="0" r="0" t="0"/>
            <wp:docPr id="4"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6343650" cy="1533525"/>
                    </a:xfrm>
                    <a:prstGeom prst="rect"/>
                    <a:ln/>
                  </pic:spPr>
                </pic:pic>
              </a:graphicData>
            </a:graphic>
          </wp:inline>
        </w:drawing>
      </w:r>
      <w:r w:rsidDel="00000000" w:rsidR="00000000" w:rsidRPr="00000000">
        <w:rPr>
          <w:rtl w:val="0"/>
        </w:rPr>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Objetivo General</w:t>
      </w:r>
    </w:p>
    <w:p w:rsidR="00000000" w:rsidDel="00000000" w:rsidP="00000000" w:rsidRDefault="00000000" w:rsidRPr="00000000" w14:paraId="00000192">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Intensificar las acciones de vacunación que permitan captar la población objeto del programa para iniciar, continuar y completar los esquemas de vacunación y alcanzar coberturas útiles en la ciudad Santiago de Cali, donde se encuentran las 150 IPS vacunadoras, contribuyendo así a la disminución de la morbilidad por eventos prevenibles por vacunación.</w:t>
      </w:r>
    </w:p>
    <w:p w:rsidR="00000000" w:rsidDel="00000000" w:rsidP="00000000" w:rsidRDefault="00000000" w:rsidRPr="00000000" w14:paraId="00000193">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Objetivos Específicos</w:t>
      </w:r>
    </w:p>
    <w:p w:rsidR="00000000" w:rsidDel="00000000" w:rsidP="00000000" w:rsidRDefault="00000000" w:rsidRPr="00000000" w14:paraId="00000194">
      <w:pPr>
        <w:widowControl w:val="1"/>
        <w:numPr>
          <w:ilvl w:val="0"/>
          <w:numId w:val="1"/>
        </w:numPr>
        <w:spacing w:after="0" w:before="2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Aumentar la cobertura en la población infantil, especialmente entre los 6 meses y 4 años, asegurando la aplicación del esquema primario completo y dosis adicional.</w:t>
      </w:r>
    </w:p>
    <w:p w:rsidR="00000000" w:rsidDel="00000000" w:rsidP="00000000" w:rsidRDefault="00000000" w:rsidRPr="00000000" w14:paraId="00000195">
      <w:pPr>
        <w:widowControl w:val="1"/>
        <w:numPr>
          <w:ilvl w:val="0"/>
          <w:numId w:val="1"/>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Garantizar el acceso equitativo a la dosis adicional para los grupos priorizados por el Ministerio de Salud: mayores de 60 años, gestantes, personas con comorbilidades y talento humano en salud.</w:t>
      </w:r>
    </w:p>
    <w:p w:rsidR="00000000" w:rsidDel="00000000" w:rsidP="00000000" w:rsidRDefault="00000000" w:rsidRPr="00000000" w14:paraId="00000196">
      <w:pPr>
        <w:widowControl w:val="1"/>
        <w:numPr>
          <w:ilvl w:val="0"/>
          <w:numId w:val="1"/>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Promover estrategias extramurales de vacunación para facilitar el acceso en zonas de difícil cobertura y mejorar la captación de población rezagada.</w:t>
      </w:r>
    </w:p>
    <w:p w:rsidR="00000000" w:rsidDel="00000000" w:rsidP="00000000" w:rsidRDefault="00000000" w:rsidRPr="00000000" w14:paraId="00000197">
      <w:pPr>
        <w:widowControl w:val="1"/>
        <w:numPr>
          <w:ilvl w:val="0"/>
          <w:numId w:val="1"/>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Monitorear y evaluar los avances por grupo etario para reforzar acciones en donde se identifiquen brechas de cobertura.</w:t>
      </w:r>
    </w:p>
    <w:p w:rsidR="00000000" w:rsidDel="00000000" w:rsidP="00000000" w:rsidRDefault="00000000" w:rsidRPr="00000000" w14:paraId="0000019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77"/>
          <w:tab w:val="left" w:leader="none" w:pos="979"/>
        </w:tabs>
        <w:spacing w:after="0" w:before="0" w:line="246.99999999999994" w:lineRule="auto"/>
        <w:ind w:left="720" w:right="623"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el ingreso de las dosis al sistema de información nominal del PAI, así como la actualización del antecedente vacuna en cohorte.</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77"/>
          <w:tab w:val="left" w:leader="none" w:pos="979"/>
        </w:tabs>
        <w:spacing w:after="0" w:before="2" w:line="235" w:lineRule="auto"/>
        <w:ind w:left="2160" w:right="618"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9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77"/>
        </w:tabs>
        <w:spacing w:after="0" w:before="0" w:line="271"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Evitar pérdidas en los Biológicos COVID 19.</w:t>
      </w:r>
    </w:p>
    <w:p w:rsidR="00000000" w:rsidDel="00000000" w:rsidP="00000000" w:rsidRDefault="00000000" w:rsidRPr="00000000" w14:paraId="0000019B">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C">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D">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E">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F">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0">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1">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2">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3">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4">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5">
      <w:pPr>
        <w:widowControl w:val="1"/>
        <w:pBdr>
          <w:top w:color="000000" w:space="1" w:sz="4" w:val="single"/>
          <w:left w:color="000000" w:space="4" w:sz="4" w:val="single"/>
          <w:bottom w:color="000000" w:space="1" w:sz="4" w:val="single"/>
          <w:right w:color="000000" w:space="4" w:sz="4" w:val="single"/>
          <w:between w:color="000000" w:space="1" w:sz="4" w:val="single"/>
        </w:pBdr>
        <w:spacing w:after="280" w:before="280" w:lineRule="auto"/>
        <w:rPr>
          <w:rFonts w:ascii="Times New Roman" w:cs="Times New Roman" w:eastAsia="Times New Roman" w:hAnsi="Times New Roman"/>
          <w:b w:val="1"/>
          <w:bCs w:val="1"/>
          <w:sz w:val="36"/>
          <w:szCs w:val="36"/>
        </w:rPr>
      </w:pPr>
      <w:r w:rsidDel="00000000" w:rsidR="00000000" w:rsidRPr="00000000">
        <w:rPr>
          <w:rFonts w:ascii="Arial" w:cs="Arial" w:eastAsia="Arial" w:hAnsi="Arial"/>
          <w:sz w:val="24"/>
          <w:szCs w:val="24"/>
          <w:rtl w:val="0"/>
        </w:rPr>
        <w:t xml:space="preserve">3.</w:t>
      </w:r>
      <w:r w:rsidDel="00000000" w:rsidR="00000000" w:rsidRPr="00000000">
        <w:rPr>
          <w:rFonts w:ascii="Times New Roman" w:cs="Times New Roman" w:eastAsia="Times New Roman" w:hAnsi="Times New Roman"/>
          <w:b w:val="1"/>
          <w:bCs w:val="1"/>
          <w:sz w:val="36"/>
          <w:szCs w:val="36"/>
          <w:rtl w:val="0"/>
        </w:rPr>
        <w:t xml:space="preserve"> </w:t>
      </w:r>
      <w:r w:rsidDel="00000000" w:rsidR="00000000" w:rsidRPr="00000000">
        <w:rPr>
          <w:rFonts w:ascii="Arial" w:cs="Arial" w:eastAsia="Arial" w:hAnsi="Arial"/>
          <w:sz w:val="24"/>
          <w:szCs w:val="24"/>
          <w:rtl w:val="0"/>
        </w:rPr>
        <w:t xml:space="preserve">Clasificación por Grupos Etarios según Lineamientos Nacionales</w:t>
      </w:r>
      <w:r w:rsidDel="00000000" w:rsidR="00000000" w:rsidRPr="00000000">
        <w:rPr>
          <w:rtl w:val="0"/>
        </w:rPr>
      </w:r>
    </w:p>
    <w:tbl>
      <w:tblPr>
        <w:tblStyle w:val="Table4"/>
        <w:tblW w:w="91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1"/>
        <w:gridCol w:w="5031"/>
        <w:tblGridChange w:id="0">
          <w:tblGrid>
            <w:gridCol w:w="4071"/>
            <w:gridCol w:w="5031"/>
          </w:tblGrid>
        </w:tblGridChange>
      </w:tblGrid>
      <w:tr>
        <w:trPr>
          <w:cantSplit w:val="0"/>
          <w:tblHeader w:val="1"/>
        </w:trPr>
        <w:tc>
          <w:tcPr>
            <w:vAlign w:val="center"/>
          </w:tcPr>
          <w:p w:rsidR="00000000" w:rsidDel="00000000" w:rsidP="00000000" w:rsidRDefault="00000000" w:rsidRPr="00000000" w14:paraId="000001A6">
            <w:pPr>
              <w:widowControl w:val="1"/>
              <w:pBdr>
                <w:top w:color="000000" w:space="1" w:sz="4" w:val="single"/>
                <w:left w:color="000000" w:space="4" w:sz="4" w:val="single"/>
                <w:bottom w:color="000000" w:space="1" w:sz="4" w:val="single"/>
                <w:right w:color="000000" w:space="4" w:sz="4" w:val="single"/>
                <w:between w:color="000000" w:space="1" w:sz="4" w:val="single"/>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Grupo Etario</w:t>
            </w:r>
          </w:p>
        </w:tc>
        <w:tc>
          <w:tcPr>
            <w:vAlign w:val="center"/>
          </w:tcPr>
          <w:p w:rsidR="00000000" w:rsidDel="00000000" w:rsidP="00000000" w:rsidRDefault="00000000" w:rsidRPr="00000000" w14:paraId="000001A7">
            <w:pPr>
              <w:widowControl w:val="1"/>
              <w:pBdr>
                <w:top w:color="000000" w:space="1" w:sz="4" w:val="single"/>
                <w:left w:color="000000" w:space="4" w:sz="4" w:val="single"/>
                <w:bottom w:color="000000" w:space="1" w:sz="4" w:val="single"/>
                <w:right w:color="000000" w:space="4" w:sz="4" w:val="single"/>
                <w:between w:color="000000" w:space="1" w:sz="4" w:val="single"/>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Tipo de Dosis Aplicada</w:t>
            </w:r>
          </w:p>
        </w:tc>
      </w:tr>
      <w:tr>
        <w:trPr>
          <w:cantSplit w:val="0"/>
          <w:tblHeader w:val="0"/>
        </w:trPr>
        <w:tc>
          <w:tcPr>
            <w:vAlign w:val="center"/>
          </w:tcPr>
          <w:p w:rsidR="00000000" w:rsidDel="00000000" w:rsidP="00000000" w:rsidRDefault="00000000" w:rsidRPr="00000000" w14:paraId="000001A8">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De 6 meses a 4 años</w:t>
            </w:r>
          </w:p>
        </w:tc>
        <w:tc>
          <w:tcPr>
            <w:vAlign w:val="center"/>
          </w:tcPr>
          <w:p w:rsidR="00000000" w:rsidDel="00000000" w:rsidP="00000000" w:rsidRDefault="00000000" w:rsidRPr="00000000" w14:paraId="000001A9">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Primera dosis, Segunda dosis, Dosis adicional</w:t>
            </w:r>
          </w:p>
        </w:tc>
      </w:tr>
      <w:tr>
        <w:trPr>
          <w:cantSplit w:val="0"/>
          <w:tblHeader w:val="0"/>
        </w:trPr>
        <w:tc>
          <w:tcPr>
            <w:vAlign w:val="center"/>
          </w:tcPr>
          <w:p w:rsidR="00000000" w:rsidDel="00000000" w:rsidP="00000000" w:rsidRDefault="00000000" w:rsidRPr="00000000" w14:paraId="000001AA">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De 5 años a 11 años</w:t>
            </w:r>
          </w:p>
        </w:tc>
        <w:tc>
          <w:tcPr>
            <w:vAlign w:val="center"/>
          </w:tcPr>
          <w:p w:rsidR="00000000" w:rsidDel="00000000" w:rsidP="00000000" w:rsidRDefault="00000000" w:rsidRPr="00000000" w14:paraId="000001AB">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1AC">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De 12 a 59 años (sin comorbilidades)</w:t>
            </w:r>
          </w:p>
        </w:tc>
        <w:tc>
          <w:tcPr>
            <w:vAlign w:val="center"/>
          </w:tcPr>
          <w:p w:rsidR="00000000" w:rsidDel="00000000" w:rsidP="00000000" w:rsidRDefault="00000000" w:rsidRPr="00000000" w14:paraId="000001AD">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1AE">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Gestantes</w:t>
            </w:r>
          </w:p>
        </w:tc>
        <w:tc>
          <w:tcPr>
            <w:vAlign w:val="center"/>
          </w:tcPr>
          <w:p w:rsidR="00000000" w:rsidDel="00000000" w:rsidP="00000000" w:rsidRDefault="00000000" w:rsidRPr="00000000" w14:paraId="000001AF">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1B0">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Mayores de 60 años</w:t>
            </w:r>
          </w:p>
        </w:tc>
        <w:tc>
          <w:tcPr>
            <w:vAlign w:val="center"/>
          </w:tcPr>
          <w:p w:rsidR="00000000" w:rsidDel="00000000" w:rsidP="00000000" w:rsidRDefault="00000000" w:rsidRPr="00000000" w14:paraId="000001B1">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1B2">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Talento humano en salud</w:t>
            </w:r>
          </w:p>
        </w:tc>
        <w:tc>
          <w:tcPr>
            <w:vAlign w:val="center"/>
          </w:tcPr>
          <w:p w:rsidR="00000000" w:rsidDel="00000000" w:rsidP="00000000" w:rsidRDefault="00000000" w:rsidRPr="00000000" w14:paraId="000001B3">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r>
        <w:trPr>
          <w:cantSplit w:val="0"/>
          <w:tblHeader w:val="0"/>
        </w:trPr>
        <w:tc>
          <w:tcPr>
            <w:vAlign w:val="center"/>
          </w:tcPr>
          <w:p w:rsidR="00000000" w:rsidDel="00000000" w:rsidP="00000000" w:rsidRDefault="00000000" w:rsidRPr="00000000" w14:paraId="000001B4">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De 12 a 59 años con comorbilidades</w:t>
            </w:r>
          </w:p>
        </w:tc>
        <w:tc>
          <w:tcPr>
            <w:vAlign w:val="center"/>
          </w:tcPr>
          <w:p w:rsidR="00000000" w:rsidDel="00000000" w:rsidP="00000000" w:rsidRDefault="00000000" w:rsidRPr="00000000" w14:paraId="000001B5">
            <w:pPr>
              <w:widowControl w:val="1"/>
              <w:pBdr>
                <w:top w:color="000000" w:space="1" w:sz="4" w:val="single"/>
                <w:left w:color="000000" w:space="4" w:sz="4" w:val="single"/>
                <w:bottom w:color="000000" w:space="1" w:sz="4" w:val="single"/>
                <w:right w:color="000000" w:space="4" w:sz="4" w:val="single"/>
                <w:between w:color="000000" w:space="1" w:sz="4" w:val="single"/>
              </w:pBdr>
              <w:rPr>
                <w:rFonts w:ascii="Arial" w:cs="Arial" w:eastAsia="Arial" w:hAnsi="Arial"/>
                <w:sz w:val="24"/>
                <w:szCs w:val="24"/>
              </w:rPr>
            </w:pPr>
            <w:r w:rsidDel="00000000" w:rsidR="00000000" w:rsidRPr="00000000">
              <w:rPr>
                <w:rFonts w:ascii="Arial" w:cs="Arial" w:eastAsia="Arial" w:hAnsi="Arial"/>
                <w:sz w:val="24"/>
                <w:szCs w:val="24"/>
                <w:rtl w:val="0"/>
              </w:rPr>
              <w:t xml:space="preserve">Dosis adicional</w:t>
            </w:r>
          </w:p>
        </w:tc>
      </w:tr>
    </w:tbl>
    <w:p w:rsidR="00000000" w:rsidDel="00000000" w:rsidP="00000000" w:rsidRDefault="00000000" w:rsidRPr="00000000" w14:paraId="000001B6">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7">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Consideraciones del Año 2025</w:t>
      </w:r>
    </w:p>
    <w:p w:rsidR="00000000" w:rsidDel="00000000" w:rsidP="00000000" w:rsidRDefault="00000000" w:rsidRPr="00000000" w14:paraId="000001B8">
      <w:pPr>
        <w:widowControl w:val="1"/>
        <w:numPr>
          <w:ilvl w:val="0"/>
          <w:numId w:val="2"/>
        </w:numPr>
        <w:spacing w:after="0" w:before="280" w:lineRule="auto"/>
        <w:ind w:left="720" w:hanging="360"/>
        <w:rPr/>
      </w:pPr>
      <w:r w:rsidDel="00000000" w:rsidR="00000000" w:rsidRPr="00000000">
        <w:rPr>
          <w:rFonts w:ascii="Arial" w:cs="Arial" w:eastAsia="Arial" w:hAnsi="Arial"/>
          <w:sz w:val="24"/>
          <w:szCs w:val="24"/>
          <w:rtl w:val="0"/>
        </w:rPr>
        <w:t xml:space="preserve">La aplicación de la dosis adicional ha sido clave para mantener la inmunidad en población de riesgo.</w:t>
      </w:r>
    </w:p>
    <w:p w:rsidR="00000000" w:rsidDel="00000000" w:rsidP="00000000" w:rsidRDefault="00000000" w:rsidRPr="00000000" w14:paraId="000001B9">
      <w:pPr>
        <w:widowControl w:val="1"/>
        <w:numPr>
          <w:ilvl w:val="0"/>
          <w:numId w:val="2"/>
        </w:numPr>
        <w:spacing w:after="0" w:before="0" w:lineRule="auto"/>
        <w:ind w:left="720" w:hanging="360"/>
        <w:rPr/>
      </w:pPr>
      <w:r w:rsidDel="00000000" w:rsidR="00000000" w:rsidRPr="00000000">
        <w:rPr>
          <w:rFonts w:ascii="Arial" w:cs="Arial" w:eastAsia="Arial" w:hAnsi="Arial"/>
          <w:sz w:val="24"/>
          <w:szCs w:val="24"/>
          <w:rtl w:val="0"/>
        </w:rPr>
        <w:t xml:space="preserve">El esquema primario en menores de 5 años continúa como un reto operacional por la necesidad de seguimiento puntual entre dosis.</w:t>
      </w:r>
    </w:p>
    <w:p w:rsidR="00000000" w:rsidDel="00000000" w:rsidP="00000000" w:rsidRDefault="00000000" w:rsidRPr="00000000" w14:paraId="000001BA">
      <w:pPr>
        <w:widowControl w:val="1"/>
        <w:numPr>
          <w:ilvl w:val="0"/>
          <w:numId w:val="2"/>
        </w:numPr>
        <w:spacing w:after="280" w:before="0" w:lineRule="auto"/>
        <w:ind w:left="720" w:hanging="360"/>
        <w:rPr/>
      </w:pPr>
      <w:r w:rsidDel="00000000" w:rsidR="00000000" w:rsidRPr="00000000">
        <w:rPr>
          <w:rFonts w:ascii="Arial" w:cs="Arial" w:eastAsia="Arial" w:hAnsi="Arial"/>
          <w:sz w:val="24"/>
          <w:szCs w:val="24"/>
          <w:rtl w:val="0"/>
        </w:rPr>
        <w:t xml:space="preserve">Las campañas de sensibilización han sido fundamentales para aumentar la confianza en la vacunación en grupos con baja percepción de riesgo.</w:t>
      </w:r>
    </w:p>
    <w:p w:rsidR="00000000" w:rsidDel="00000000" w:rsidP="00000000" w:rsidRDefault="00000000" w:rsidRPr="00000000" w14:paraId="000001BB">
      <w:pPr>
        <w:widowControl w:val="1"/>
        <w:spacing w:after="280" w:before="280" w:lineRule="auto"/>
        <w:rPr>
          <w:rFonts w:ascii="Arial" w:cs="Arial" w:eastAsia="Arial" w:hAnsi="Arial"/>
          <w:sz w:val="24"/>
          <w:szCs w:val="24"/>
        </w:rPr>
      </w:pPr>
      <w:r w:rsidDel="00000000" w:rsidR="00000000" w:rsidRPr="00000000">
        <w:rPr>
          <w:rFonts w:ascii="Times New Roman" w:cs="Times New Roman" w:eastAsia="Times New Roman" w:hAnsi="Times New Roman"/>
          <w:b w:val="1"/>
          <w:bCs w:val="1"/>
          <w:sz w:val="36"/>
          <w:szCs w:val="36"/>
          <w:rtl w:val="0"/>
        </w:rPr>
        <w:t xml:space="preserve">     </w:t>
      </w:r>
      <w:r w:rsidDel="00000000" w:rsidR="00000000" w:rsidRPr="00000000">
        <w:rPr>
          <w:rFonts w:ascii="Arial" w:cs="Arial" w:eastAsia="Arial" w:hAnsi="Arial"/>
          <w:sz w:val="24"/>
          <w:szCs w:val="24"/>
          <w:rtl w:val="0"/>
        </w:rPr>
        <w:t xml:space="preserve"> Recomendaciones</w:t>
      </w:r>
    </w:p>
    <w:p w:rsidR="00000000" w:rsidDel="00000000" w:rsidP="00000000" w:rsidRDefault="00000000" w:rsidRPr="00000000" w14:paraId="000001BC">
      <w:pPr>
        <w:widowControl w:val="1"/>
        <w:numPr>
          <w:ilvl w:val="0"/>
          <w:numId w:val="3"/>
        </w:numPr>
        <w:spacing w:after="0" w:before="280" w:lineRule="auto"/>
        <w:ind w:left="720" w:hanging="360"/>
        <w:rPr/>
      </w:pPr>
      <w:r w:rsidDel="00000000" w:rsidR="00000000" w:rsidRPr="00000000">
        <w:rPr>
          <w:rFonts w:ascii="Arial" w:cs="Arial" w:eastAsia="Arial" w:hAnsi="Arial"/>
          <w:sz w:val="24"/>
          <w:szCs w:val="24"/>
          <w:rtl w:val="0"/>
        </w:rPr>
        <w:t xml:space="preserve">Reforzar la comunicación del riesgo para fomentar la vacunación en población joven adulta y adolescentes.</w:t>
      </w:r>
    </w:p>
    <w:p w:rsidR="00000000" w:rsidDel="00000000" w:rsidP="00000000" w:rsidRDefault="00000000" w:rsidRPr="00000000" w14:paraId="000001BD">
      <w:pPr>
        <w:widowControl w:val="1"/>
        <w:numPr>
          <w:ilvl w:val="0"/>
          <w:numId w:val="3"/>
        </w:numPr>
        <w:spacing w:after="0" w:before="0" w:lineRule="auto"/>
        <w:ind w:left="720" w:hanging="360"/>
        <w:rPr/>
      </w:pPr>
      <w:r w:rsidDel="00000000" w:rsidR="00000000" w:rsidRPr="00000000">
        <w:rPr>
          <w:rFonts w:ascii="Arial" w:cs="Arial" w:eastAsia="Arial" w:hAnsi="Arial"/>
          <w:sz w:val="24"/>
          <w:szCs w:val="24"/>
          <w:rtl w:val="0"/>
        </w:rPr>
        <w:t xml:space="preserve">Mantener la disponibilidad de biológicos y logística adecuada para garantizar continuidad del servicio en todas las IPS vacunadoras.</w:t>
      </w:r>
    </w:p>
    <w:p w:rsidR="00000000" w:rsidDel="00000000" w:rsidP="00000000" w:rsidRDefault="00000000" w:rsidRPr="00000000" w14:paraId="000001BE">
      <w:pPr>
        <w:widowControl w:val="1"/>
        <w:numPr>
          <w:ilvl w:val="0"/>
          <w:numId w:val="3"/>
        </w:numPr>
        <w:spacing w:after="280" w:before="0" w:lineRule="auto"/>
        <w:ind w:left="720" w:hanging="360"/>
        <w:rPr/>
      </w:pPr>
      <w:r w:rsidDel="00000000" w:rsidR="00000000" w:rsidRPr="00000000">
        <w:rPr>
          <w:rFonts w:ascii="Arial" w:cs="Arial" w:eastAsia="Arial" w:hAnsi="Arial"/>
          <w:sz w:val="24"/>
          <w:szCs w:val="24"/>
          <w:rtl w:val="0"/>
        </w:rPr>
        <w:t xml:space="preserve">Implementar vigilancia activa de coberturas y eventos adversos para asegurar calidad y seguridad en el proceso.</w:t>
      </w:r>
    </w:p>
    <w:p w:rsidR="00000000" w:rsidDel="00000000" w:rsidP="00000000" w:rsidRDefault="00000000" w:rsidRPr="00000000" w14:paraId="000001BF">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0">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1">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2">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3">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4">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5">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6">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Conclusiones – Dosis Aplicadas 2025</w:t>
      </w:r>
    </w:p>
    <w:p w:rsidR="00000000" w:rsidDel="00000000" w:rsidP="00000000" w:rsidRDefault="00000000" w:rsidRPr="00000000" w14:paraId="000001C8">
      <w:pPr>
        <w:widowControl w:val="1"/>
        <w:numPr>
          <w:ilvl w:val="0"/>
          <w:numId w:val="6"/>
        </w:numPr>
        <w:spacing w:after="0" w:before="2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 vacunación contra COVID-19 durante el año 2025 en Santiago de Cali permitió mantener una respuesta sostenida frente a la enfermedad, con énfasis en la aplicación de dosis adicionales en los grupos priorizados por el Ministerio de Salud.</w:t>
      </w:r>
    </w:p>
    <w:p w:rsidR="00000000" w:rsidDel="00000000" w:rsidP="00000000" w:rsidRDefault="00000000" w:rsidRPr="00000000" w14:paraId="000001C9">
      <w:pPr>
        <w:widowControl w:val="1"/>
        <w:numPr>
          <w:ilvl w:val="0"/>
          <w:numId w:val="6"/>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El grupo de mayores de 60 años continúa siendo el que mayor adherencia presenta a la aplicación de refuerzos, superando las coberturas alcanzadas en años anteriores.</w:t>
      </w:r>
    </w:p>
    <w:p w:rsidR="00000000" w:rsidDel="00000000" w:rsidP="00000000" w:rsidRDefault="00000000" w:rsidRPr="00000000" w14:paraId="000001CA">
      <w:pPr>
        <w:widowControl w:val="1"/>
        <w:numPr>
          <w:ilvl w:val="0"/>
          <w:numId w:val="6"/>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El talento humano en salud y las gestantes también mostraron una adecuada adherencia a la dosis adicional, gracias a la implementación de estrategias institucionales de vacunación y seguimiento activo.</w:t>
      </w:r>
    </w:p>
    <w:p w:rsidR="00000000" w:rsidDel="00000000" w:rsidP="00000000" w:rsidRDefault="00000000" w:rsidRPr="00000000" w14:paraId="000001CB">
      <w:pPr>
        <w:widowControl w:val="1"/>
        <w:numPr>
          <w:ilvl w:val="0"/>
          <w:numId w:val="6"/>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Persisten desafíos en la cobertura de refuerzo en niños de 5 a 11 años y adultos jóvenes (12 a 59 años sin comorbilidades), evidenciando baja percepción de riesgo y necesidad de mayor intervención educativa y comunitaria.</w:t>
      </w:r>
    </w:p>
    <w:p w:rsidR="00000000" w:rsidDel="00000000" w:rsidP="00000000" w:rsidRDefault="00000000" w:rsidRPr="00000000" w14:paraId="000001CC">
      <w:pPr>
        <w:widowControl w:val="1"/>
        <w:numPr>
          <w:ilvl w:val="0"/>
          <w:numId w:val="6"/>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 vacunación en niños entre 6 meses y 4 años mostró avances importantes en cuanto a la aplicación del esquema primario (primera y segunda dosis), aunque se requiere reforzar el seguimiento para garantizar la aplicación oportuna de la dosis adicional.</w:t>
      </w:r>
    </w:p>
    <w:p w:rsidR="00000000" w:rsidDel="00000000" w:rsidP="00000000" w:rsidRDefault="00000000" w:rsidRPr="00000000" w14:paraId="000001CD">
      <w:pPr>
        <w:widowControl w:val="1"/>
        <w:numPr>
          <w:ilvl w:val="0"/>
          <w:numId w:val="6"/>
        </w:numPr>
        <w:spacing w:after="28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 articulación interinstitucional entre las 150 IPS vacunadoras de la ciudad permitió mantener la disponibilidad de biológicos y asegurar un acceso equitativo en zonas urbanas y rurales.</w:t>
      </w:r>
    </w:p>
    <w:p w:rsidR="00000000" w:rsidDel="00000000" w:rsidP="00000000" w:rsidRDefault="00000000" w:rsidRPr="00000000" w14:paraId="000001CE">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F">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Avances Médicos y Científicos</w:t>
      </w:r>
    </w:p>
    <w:p w:rsidR="00000000" w:rsidDel="00000000" w:rsidP="00000000" w:rsidRDefault="00000000" w:rsidRPr="00000000" w14:paraId="000001D0">
      <w:pPr>
        <w:widowControl w:val="1"/>
        <w:numPr>
          <w:ilvl w:val="0"/>
          <w:numId w:val="8"/>
        </w:numPr>
        <w:spacing w:after="280" w:before="280" w:lineRule="auto"/>
        <w:ind w:left="720" w:hanging="360"/>
        <w:rPr/>
      </w:pPr>
      <w:r w:rsidDel="00000000" w:rsidR="00000000" w:rsidRPr="00000000">
        <w:rPr>
          <w:rFonts w:ascii="Arial" w:cs="Arial" w:eastAsia="Arial" w:hAnsi="Arial"/>
          <w:sz w:val="24"/>
          <w:szCs w:val="24"/>
          <w:rtl w:val="0"/>
        </w:rPr>
        <w:t xml:space="preserve">Vacunas Combinadas: Moderna ha desarrollado una vacuna de ARN mensajero que protege simultáneamente contra la gripe y la COVID-19. Los ensayos clínicos en fase 3 han mostrado una respuesta inmune comparable o superior a las vacunas individuales, con buena tolerancia y seguridad. Este avance podría mejorar la cobertura vacunal, especialmente en mayores de 65 años.</w:t>
      </w:r>
    </w:p>
    <w:p w:rsidR="00000000" w:rsidDel="00000000" w:rsidP="00000000" w:rsidRDefault="00000000" w:rsidRPr="00000000" w14:paraId="000001D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Anticuerpos Eficaces: Investigadores del CSIC en España han desarrollado nanoanticuerpos capaces de neutralizar variantes agresivas del SARS-CoV-2. Estos anticuerpos podrían utilizarse tanto en pruebas diagnósticas como en terapias para pacientes infectados.</w:t>
      </w:r>
    </w:p>
    <w:p w:rsidR="00000000" w:rsidDel="00000000" w:rsidP="00000000" w:rsidRDefault="00000000" w:rsidRPr="00000000" w14:paraId="000001D2">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3">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4">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5">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6">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7">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8">
      <w:pPr>
        <w:widowControl w:val="1"/>
        <w:spacing w:after="280" w:before="280"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rtl w:val="0"/>
        </w:rPr>
        <w:t xml:space="preserve">Justificación de la Vacunación y Priorización – Vacuna Pfizer JN.1 contra COVID-19</w:t>
      </w:r>
    </w:p>
    <w:p w:rsidR="00000000" w:rsidDel="00000000" w:rsidP="00000000" w:rsidRDefault="00000000" w:rsidRPr="00000000" w14:paraId="000001D9">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La pandemia por COVID-19 ha representado uno de los mayores desafíos sanitarios a nivel mundial, lo que ha llevado a que la comunidad científica concentre esfuerzos en el desarrollo de estrategias efectivas de prevención, entre ellas las vacunas. Desde finales del año 2020 se presentaron los primeros resultados sobre eficacia y seguridad de diferentes biológicos, permitiendo que en febrero de 2021 iniciara en Colombia el proceso de vacunación masiva contra el SARS-CoV-2.</w:t>
      </w:r>
    </w:p>
    <w:p w:rsidR="00000000" w:rsidDel="00000000" w:rsidP="00000000" w:rsidRDefault="00000000" w:rsidRPr="00000000" w14:paraId="000001DA">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Diversos estudios clínicos han demostrado que las vacunas disponibles ofrecen una protección significativa contra la enfermedad, especialmente contra sus formas graves y la mortalidad:</w:t>
      </w:r>
    </w:p>
    <w:p w:rsidR="00000000" w:rsidDel="00000000" w:rsidP="00000000" w:rsidRDefault="00000000" w:rsidRPr="00000000" w14:paraId="000001DB">
      <w:pPr>
        <w:widowControl w:val="1"/>
        <w:numPr>
          <w:ilvl w:val="0"/>
          <w:numId w:val="20"/>
        </w:numPr>
        <w:spacing w:after="0" w:before="280" w:lineRule="auto"/>
        <w:ind w:left="720" w:hanging="360"/>
        <w:rPr/>
      </w:pPr>
      <w:r w:rsidDel="00000000" w:rsidR="00000000" w:rsidRPr="00000000">
        <w:rPr>
          <w:rFonts w:ascii="Arial" w:cs="Arial" w:eastAsia="Arial" w:hAnsi="Arial"/>
          <w:b w:val="1"/>
          <w:bCs w:val="1"/>
          <w:sz w:val="24"/>
          <w:szCs w:val="24"/>
          <w:rtl w:val="0"/>
        </w:rPr>
        <w:t xml:space="preserve">Pfizer-BioNTech (BNT162b2, PF-07302048):</w:t>
      </w:r>
      <w:r w:rsidDel="00000000" w:rsidR="00000000" w:rsidRPr="00000000">
        <w:rPr>
          <w:rFonts w:ascii="Arial" w:cs="Arial" w:eastAsia="Arial" w:hAnsi="Arial"/>
          <w:sz w:val="24"/>
          <w:szCs w:val="24"/>
          <w:rtl w:val="0"/>
        </w:rPr>
        <w:t xml:space="preserve"> mostró una eficacia del </w:t>
      </w:r>
      <w:r w:rsidDel="00000000" w:rsidR="00000000" w:rsidRPr="00000000">
        <w:rPr>
          <w:rFonts w:ascii="Arial" w:cs="Arial" w:eastAsia="Arial" w:hAnsi="Arial"/>
          <w:b w:val="1"/>
          <w:bCs w:val="1"/>
          <w:sz w:val="24"/>
          <w:szCs w:val="24"/>
          <w:rtl w:val="0"/>
        </w:rPr>
        <w:t xml:space="preserve">95%</w:t>
      </w:r>
      <w:r w:rsidDel="00000000" w:rsidR="00000000" w:rsidRPr="00000000">
        <w:rPr>
          <w:rFonts w:ascii="Arial" w:cs="Arial" w:eastAsia="Arial" w:hAnsi="Arial"/>
          <w:sz w:val="24"/>
          <w:szCs w:val="24"/>
          <w:rtl w:val="0"/>
        </w:rPr>
        <w:t xml:space="preserve"> para prevenir COVID-19 en personas de </w:t>
      </w:r>
      <w:r w:rsidDel="00000000" w:rsidR="00000000" w:rsidRPr="00000000">
        <w:rPr>
          <w:rFonts w:ascii="Arial" w:cs="Arial" w:eastAsia="Arial" w:hAnsi="Arial"/>
          <w:b w:val="1"/>
          <w:bCs w:val="1"/>
          <w:sz w:val="24"/>
          <w:szCs w:val="24"/>
          <w:rtl w:val="0"/>
        </w:rPr>
        <w:t xml:space="preserve">12 años o más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DC">
      <w:pPr>
        <w:widowControl w:val="1"/>
        <w:numPr>
          <w:ilvl w:val="0"/>
          <w:numId w:val="20"/>
        </w:numPr>
        <w:spacing w:after="0" w:before="0" w:lineRule="auto"/>
        <w:ind w:left="720" w:hanging="360"/>
        <w:rPr/>
      </w:pPr>
      <w:r w:rsidDel="00000000" w:rsidR="00000000" w:rsidRPr="00000000">
        <w:rPr>
          <w:rFonts w:ascii="Arial" w:cs="Arial" w:eastAsia="Arial" w:hAnsi="Arial"/>
          <w:b w:val="1"/>
          <w:bCs w:val="1"/>
          <w:sz w:val="24"/>
          <w:szCs w:val="24"/>
          <w:rtl w:val="0"/>
        </w:rPr>
        <w:t xml:space="preserve">Moderna (mRNA-1273):</w:t>
      </w:r>
      <w:r w:rsidDel="00000000" w:rsidR="00000000" w:rsidRPr="00000000">
        <w:rPr>
          <w:rFonts w:ascii="Arial" w:cs="Arial" w:eastAsia="Arial" w:hAnsi="Arial"/>
          <w:sz w:val="24"/>
          <w:szCs w:val="24"/>
          <w:rtl w:val="0"/>
        </w:rPr>
        <w:t xml:space="preserve"> eficacia del </w:t>
      </w:r>
      <w:r w:rsidDel="00000000" w:rsidR="00000000" w:rsidRPr="00000000">
        <w:rPr>
          <w:rFonts w:ascii="Arial" w:cs="Arial" w:eastAsia="Arial" w:hAnsi="Arial"/>
          <w:b w:val="1"/>
          <w:bCs w:val="1"/>
          <w:sz w:val="24"/>
          <w:szCs w:val="24"/>
          <w:rtl w:val="0"/>
        </w:rPr>
        <w:t xml:space="preserve">94,1%</w:t>
      </w:r>
      <w:r w:rsidDel="00000000" w:rsidR="00000000" w:rsidRPr="00000000">
        <w:rPr>
          <w:rFonts w:ascii="Arial" w:cs="Arial" w:eastAsia="Arial" w:hAnsi="Arial"/>
          <w:sz w:val="24"/>
          <w:szCs w:val="24"/>
          <w:rtl w:val="0"/>
        </w:rPr>
        <w:t xml:space="preserve"> en población de </w:t>
      </w:r>
      <w:r w:rsidDel="00000000" w:rsidR="00000000" w:rsidRPr="00000000">
        <w:rPr>
          <w:rFonts w:ascii="Arial" w:cs="Arial" w:eastAsia="Arial" w:hAnsi="Arial"/>
          <w:b w:val="1"/>
          <w:bCs w:val="1"/>
          <w:sz w:val="24"/>
          <w:szCs w:val="24"/>
          <w:rtl w:val="0"/>
        </w:rPr>
        <w:t xml:space="preserve">12 años en adelante</w:t>
      </w:r>
      <w:r w:rsidDel="00000000" w:rsidR="00000000" w:rsidRPr="00000000">
        <w:rPr>
          <w:rFonts w:ascii="Arial" w:cs="Arial" w:eastAsia="Arial" w:hAnsi="Arial"/>
          <w:sz w:val="24"/>
          <w:szCs w:val="24"/>
          <w:rtl w:val="0"/>
        </w:rPr>
        <w:t xml:space="preserve">, incluyendo protección frente a enfermedad grave.</w:t>
      </w:r>
    </w:p>
    <w:p w:rsidR="00000000" w:rsidDel="00000000" w:rsidP="00000000" w:rsidRDefault="00000000" w:rsidRPr="00000000" w14:paraId="000001DD">
      <w:pPr>
        <w:widowControl w:val="1"/>
        <w:numPr>
          <w:ilvl w:val="0"/>
          <w:numId w:val="20"/>
        </w:numPr>
        <w:spacing w:after="0" w:before="0" w:lineRule="auto"/>
        <w:ind w:left="720" w:hanging="360"/>
        <w:rPr/>
      </w:pPr>
      <w:r w:rsidDel="00000000" w:rsidR="00000000" w:rsidRPr="00000000">
        <w:rPr>
          <w:rFonts w:ascii="Arial" w:cs="Arial" w:eastAsia="Arial" w:hAnsi="Arial"/>
          <w:b w:val="1"/>
          <w:bCs w:val="1"/>
          <w:sz w:val="24"/>
          <w:szCs w:val="24"/>
          <w:rtl w:val="0"/>
        </w:rPr>
        <w:t xml:space="preserve">AstraZeneca (AZD1222):</w:t>
      </w:r>
      <w:r w:rsidDel="00000000" w:rsidR="00000000" w:rsidRPr="00000000">
        <w:rPr>
          <w:rFonts w:ascii="Arial" w:cs="Arial" w:eastAsia="Arial" w:hAnsi="Arial"/>
          <w:sz w:val="24"/>
          <w:szCs w:val="24"/>
          <w:rtl w:val="0"/>
        </w:rPr>
        <w:t xml:space="preserve"> eficacia del </w:t>
      </w:r>
      <w:r w:rsidDel="00000000" w:rsidR="00000000" w:rsidRPr="00000000">
        <w:rPr>
          <w:rFonts w:ascii="Arial" w:cs="Arial" w:eastAsia="Arial" w:hAnsi="Arial"/>
          <w:b w:val="1"/>
          <w:bCs w:val="1"/>
          <w:sz w:val="24"/>
          <w:szCs w:val="24"/>
          <w:rtl w:val="0"/>
        </w:rPr>
        <w:t xml:space="preserve">62,1%</w:t>
      </w:r>
      <w:r w:rsidDel="00000000" w:rsidR="00000000" w:rsidRPr="00000000">
        <w:rPr>
          <w:rFonts w:ascii="Arial" w:cs="Arial" w:eastAsia="Arial" w:hAnsi="Arial"/>
          <w:sz w:val="24"/>
          <w:szCs w:val="24"/>
          <w:rtl w:val="0"/>
        </w:rPr>
        <w:t xml:space="preserve"> con dos dosis estándar y del </w:t>
      </w:r>
      <w:r w:rsidDel="00000000" w:rsidR="00000000" w:rsidRPr="00000000">
        <w:rPr>
          <w:rFonts w:ascii="Arial" w:cs="Arial" w:eastAsia="Arial" w:hAnsi="Arial"/>
          <w:b w:val="1"/>
          <w:bCs w:val="1"/>
          <w:sz w:val="24"/>
          <w:szCs w:val="24"/>
          <w:rtl w:val="0"/>
        </w:rPr>
        <w:t xml:space="preserve">90%</w:t>
      </w:r>
      <w:r w:rsidDel="00000000" w:rsidR="00000000" w:rsidRPr="00000000">
        <w:rPr>
          <w:rFonts w:ascii="Arial" w:cs="Arial" w:eastAsia="Arial" w:hAnsi="Arial"/>
          <w:sz w:val="24"/>
          <w:szCs w:val="24"/>
          <w:rtl w:val="0"/>
        </w:rPr>
        <w:t xml:space="preserve"> con esquema combinado (dosis baja + estándar).</w:t>
      </w:r>
    </w:p>
    <w:p w:rsidR="00000000" w:rsidDel="00000000" w:rsidP="00000000" w:rsidRDefault="00000000" w:rsidRPr="00000000" w14:paraId="000001DE">
      <w:pPr>
        <w:widowControl w:val="1"/>
        <w:numPr>
          <w:ilvl w:val="0"/>
          <w:numId w:val="20"/>
        </w:numPr>
        <w:spacing w:after="280" w:before="0" w:lineRule="auto"/>
        <w:ind w:left="720" w:hanging="360"/>
        <w:rPr/>
      </w:pPr>
      <w:r w:rsidDel="00000000" w:rsidR="00000000" w:rsidRPr="00000000">
        <w:rPr>
          <w:rFonts w:ascii="Arial" w:cs="Arial" w:eastAsia="Arial" w:hAnsi="Arial"/>
          <w:b w:val="1"/>
          <w:bCs w:val="1"/>
          <w:sz w:val="24"/>
          <w:szCs w:val="24"/>
          <w:rtl w:val="0"/>
        </w:rPr>
        <w:t xml:space="preserve">Sinovac:</w:t>
      </w:r>
      <w:r w:rsidDel="00000000" w:rsidR="00000000" w:rsidRPr="00000000">
        <w:rPr>
          <w:rFonts w:ascii="Arial" w:cs="Arial" w:eastAsia="Arial" w:hAnsi="Arial"/>
          <w:sz w:val="24"/>
          <w:szCs w:val="24"/>
          <w:rtl w:val="0"/>
        </w:rPr>
        <w:t xml:space="preserve"> eficacia reportada entre el </w:t>
      </w:r>
      <w:r w:rsidDel="00000000" w:rsidR="00000000" w:rsidRPr="00000000">
        <w:rPr>
          <w:rFonts w:ascii="Arial" w:cs="Arial" w:eastAsia="Arial" w:hAnsi="Arial"/>
          <w:b w:val="1"/>
          <w:bCs w:val="1"/>
          <w:sz w:val="24"/>
          <w:szCs w:val="24"/>
          <w:rtl w:val="0"/>
        </w:rPr>
        <w:t xml:space="preserve">50,4% y 91,3%</w:t>
      </w:r>
      <w:r w:rsidDel="00000000" w:rsidR="00000000" w:rsidRPr="00000000">
        <w:rPr>
          <w:rFonts w:ascii="Arial" w:cs="Arial" w:eastAsia="Arial" w:hAnsi="Arial"/>
          <w:sz w:val="24"/>
          <w:szCs w:val="24"/>
          <w:rtl w:val="0"/>
        </w:rPr>
        <w:t xml:space="preserve">, dependiendo del contexto epidemiológico.</w:t>
      </w:r>
    </w:p>
    <w:p w:rsidR="00000000" w:rsidDel="00000000" w:rsidP="00000000" w:rsidRDefault="00000000" w:rsidRPr="00000000" w14:paraId="000001DF">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En Colombia, el Ministerio de Salud y Protección Social expidió la </w:t>
      </w:r>
      <w:r w:rsidDel="00000000" w:rsidR="00000000" w:rsidRPr="00000000">
        <w:rPr>
          <w:rFonts w:ascii="Arial" w:cs="Arial" w:eastAsia="Arial" w:hAnsi="Arial"/>
          <w:b w:val="1"/>
          <w:bCs w:val="1"/>
          <w:sz w:val="24"/>
          <w:szCs w:val="24"/>
          <w:rtl w:val="0"/>
        </w:rPr>
        <w:t xml:space="preserve">Resolución 592 del 4 de abril de 2024</w:t>
      </w:r>
      <w:r w:rsidDel="00000000" w:rsidR="00000000" w:rsidRPr="00000000">
        <w:rPr>
          <w:rFonts w:ascii="Arial" w:cs="Arial" w:eastAsia="Arial" w:hAnsi="Arial"/>
          <w:sz w:val="24"/>
          <w:szCs w:val="24"/>
          <w:rtl w:val="0"/>
        </w:rPr>
        <w:t xml:space="preserve">, la cual modificó lineamientos previos (Resolución 986 de 2023 y 1862 de 2023) y estableció los esquemas actuales de vacunación contra COVID-19. Dichos lineamientos mantienen la estructura operativa del </w:t>
      </w:r>
      <w:r w:rsidDel="00000000" w:rsidR="00000000" w:rsidRPr="00000000">
        <w:rPr>
          <w:rFonts w:ascii="Arial" w:cs="Arial" w:eastAsia="Arial" w:hAnsi="Arial"/>
          <w:b w:val="1"/>
          <w:bCs w:val="1"/>
          <w:sz w:val="24"/>
          <w:szCs w:val="24"/>
          <w:rtl w:val="0"/>
        </w:rPr>
        <w:t xml:space="preserve">Programa Ampliado de Inmunizaciones (PAI)</w:t>
      </w:r>
      <w:r w:rsidDel="00000000" w:rsidR="00000000" w:rsidRPr="00000000">
        <w:rPr>
          <w:rFonts w:ascii="Arial" w:cs="Arial" w:eastAsia="Arial" w:hAnsi="Arial"/>
          <w:sz w:val="24"/>
          <w:szCs w:val="24"/>
          <w:rtl w:val="0"/>
        </w:rPr>
        <w:t xml:space="preserve">, permitiendo que el biológico Pfizer JN.1 se incorpore bajo el mismo modelo de ejecución, vigilancia y gestión logística.</w:t>
      </w:r>
    </w:p>
    <w:p w:rsidR="00000000" w:rsidDel="00000000" w:rsidP="00000000" w:rsidRDefault="00000000" w:rsidRPr="00000000" w14:paraId="000001E0">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La adquisición de las vacunas contra COVID-19 continúa realizándose a través del </w:t>
      </w:r>
      <w:r w:rsidDel="00000000" w:rsidR="00000000" w:rsidRPr="00000000">
        <w:rPr>
          <w:rFonts w:ascii="Arial" w:cs="Arial" w:eastAsia="Arial" w:hAnsi="Arial"/>
          <w:b w:val="1"/>
          <w:bCs w:val="1"/>
          <w:sz w:val="24"/>
          <w:szCs w:val="24"/>
          <w:rtl w:val="0"/>
        </w:rPr>
        <w:t xml:space="preserve">Convenio de Cooperación 275 de 2011 con la OPS</w:t>
      </w:r>
      <w:r w:rsidDel="00000000" w:rsidR="00000000" w:rsidRPr="00000000">
        <w:rPr>
          <w:rFonts w:ascii="Arial" w:cs="Arial" w:eastAsia="Arial" w:hAnsi="Arial"/>
          <w:sz w:val="24"/>
          <w:szCs w:val="24"/>
          <w:rtl w:val="0"/>
        </w:rPr>
        <w:t xml:space="preserve">, haciendo uso del Fondo Rotatorio de Vacunas, mecanismo autorizado por la OPS/OMS desde 1977 y diseñado para apoyar la compra de biológicos e insumos con altos estándares de calidad. Conforme a su cláusula de requisitos técnicos, las vacunas deben contar con registro sanitario vigente del </w:t>
      </w:r>
      <w:r w:rsidDel="00000000" w:rsidR="00000000" w:rsidRPr="00000000">
        <w:rPr>
          <w:rFonts w:ascii="Arial" w:cs="Arial" w:eastAsia="Arial" w:hAnsi="Arial"/>
          <w:b w:val="1"/>
          <w:bCs w:val="1"/>
          <w:sz w:val="24"/>
          <w:szCs w:val="24"/>
          <w:rtl w:val="0"/>
        </w:rPr>
        <w:t xml:space="preserve">INVIMA</w:t>
      </w:r>
      <w:r w:rsidDel="00000000" w:rsidR="00000000" w:rsidRPr="00000000">
        <w:rPr>
          <w:rFonts w:ascii="Arial" w:cs="Arial" w:eastAsia="Arial" w:hAnsi="Arial"/>
          <w:sz w:val="24"/>
          <w:szCs w:val="24"/>
          <w:rtl w:val="0"/>
        </w:rPr>
        <w:t xml:space="preserve"> o, en su defecto, con aprobación de agencias regulatorias equivalentes del país de origen, garantizando así su seguridad y eficacia.</w:t>
      </w:r>
    </w:p>
    <w:p w:rsidR="00000000" w:rsidDel="00000000" w:rsidP="00000000" w:rsidRDefault="00000000" w:rsidRPr="00000000" w14:paraId="000001E1">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nivel mundial, la carga de enfermedad por COVID-19 continúa siendo relevante. Según la </w:t>
      </w:r>
      <w:r w:rsidDel="00000000" w:rsidR="00000000" w:rsidRPr="00000000">
        <w:rPr>
          <w:rFonts w:ascii="Arial" w:cs="Arial" w:eastAsia="Arial" w:hAnsi="Arial"/>
          <w:b w:val="1"/>
          <w:bCs w:val="1"/>
          <w:sz w:val="24"/>
          <w:szCs w:val="24"/>
          <w:rtl w:val="0"/>
        </w:rPr>
        <w:t xml:space="preserve">Organización Mundial de la Salud (OMS)</w:t>
      </w:r>
      <w:r w:rsidDel="00000000" w:rsidR="00000000" w:rsidRPr="00000000">
        <w:rPr>
          <w:rFonts w:ascii="Arial" w:cs="Arial" w:eastAsia="Arial" w:hAnsi="Arial"/>
          <w:sz w:val="24"/>
          <w:szCs w:val="24"/>
          <w:rtl w:val="0"/>
        </w:rPr>
        <w:t xml:space="preserve">, al </w:t>
      </w:r>
      <w:r w:rsidDel="00000000" w:rsidR="00000000" w:rsidRPr="00000000">
        <w:rPr>
          <w:rFonts w:ascii="Arial" w:cs="Arial" w:eastAsia="Arial" w:hAnsi="Arial"/>
          <w:b w:val="1"/>
          <w:bCs w:val="1"/>
          <w:sz w:val="24"/>
          <w:szCs w:val="24"/>
          <w:rtl w:val="0"/>
        </w:rPr>
        <w:t xml:space="preserve">20 de octubre de 2024</w:t>
      </w:r>
      <w:r w:rsidDel="00000000" w:rsidR="00000000" w:rsidRPr="00000000">
        <w:rPr>
          <w:rFonts w:ascii="Arial" w:cs="Arial" w:eastAsia="Arial" w:hAnsi="Arial"/>
          <w:sz w:val="24"/>
          <w:szCs w:val="24"/>
          <w:rtl w:val="0"/>
        </w:rPr>
        <w:t xml:space="preserve"> se han reportado </w:t>
      </w:r>
      <w:r w:rsidDel="00000000" w:rsidR="00000000" w:rsidRPr="00000000">
        <w:rPr>
          <w:rFonts w:ascii="Arial" w:cs="Arial" w:eastAsia="Arial" w:hAnsi="Arial"/>
          <w:b w:val="1"/>
          <w:bCs w:val="1"/>
          <w:sz w:val="24"/>
          <w:szCs w:val="24"/>
          <w:rtl w:val="0"/>
        </w:rPr>
        <w:t xml:space="preserve">776.696.616 casos confirmados</w:t>
      </w:r>
      <w:r w:rsidDel="00000000" w:rsidR="00000000" w:rsidRPr="00000000">
        <w:rPr>
          <w:rFonts w:ascii="Arial" w:cs="Arial" w:eastAsia="Arial" w:hAnsi="Arial"/>
          <w:sz w:val="24"/>
          <w:szCs w:val="24"/>
          <w:rtl w:val="0"/>
        </w:rPr>
        <w:t xml:space="preserve"> y </w:t>
      </w:r>
      <w:r w:rsidDel="00000000" w:rsidR="00000000" w:rsidRPr="00000000">
        <w:rPr>
          <w:rFonts w:ascii="Arial" w:cs="Arial" w:eastAsia="Arial" w:hAnsi="Arial"/>
          <w:b w:val="1"/>
          <w:bCs w:val="1"/>
          <w:sz w:val="24"/>
          <w:szCs w:val="24"/>
          <w:rtl w:val="0"/>
        </w:rPr>
        <w:t xml:space="preserve">7.072.509 defunciones acumuladas</w:t>
      </w:r>
      <w:r w:rsidDel="00000000" w:rsidR="00000000" w:rsidRPr="00000000">
        <w:rPr>
          <w:rFonts w:ascii="Arial" w:cs="Arial" w:eastAsia="Arial" w:hAnsi="Arial"/>
          <w:sz w:val="24"/>
          <w:szCs w:val="24"/>
          <w:rtl w:val="0"/>
        </w:rPr>
        <w:t xml:space="preserve">, con mayor afectación en Europa, Asia, Pacífico y las Américas. Estas cifras demuestran que el virus continúa circulando y sigue siendo una amenaza para poblaciones vulnerables, especialmente adultos mayores y personas con comorbilidades.</w:t>
      </w:r>
    </w:p>
    <w:p w:rsidR="00000000" w:rsidDel="00000000" w:rsidP="00000000" w:rsidRDefault="00000000" w:rsidRPr="00000000" w14:paraId="000001E2">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4">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En Colombia, de acuerdo con datos del </w:t>
      </w:r>
      <w:r w:rsidDel="00000000" w:rsidR="00000000" w:rsidRPr="00000000">
        <w:rPr>
          <w:rFonts w:ascii="Arial" w:cs="Arial" w:eastAsia="Arial" w:hAnsi="Arial"/>
          <w:b w:val="1"/>
          <w:bCs w:val="1"/>
          <w:sz w:val="24"/>
          <w:szCs w:val="24"/>
          <w:rtl w:val="0"/>
        </w:rPr>
        <w:t xml:space="preserve">SIVIGILA</w:t>
      </w:r>
      <w:r w:rsidDel="00000000" w:rsidR="00000000" w:rsidRPr="00000000">
        <w:rPr>
          <w:rFonts w:ascii="Arial" w:cs="Arial" w:eastAsia="Arial" w:hAnsi="Arial"/>
          <w:sz w:val="24"/>
          <w:szCs w:val="24"/>
          <w:rtl w:val="0"/>
        </w:rPr>
        <w:t xml:space="preserve"> con corte al </w:t>
      </w:r>
      <w:r w:rsidDel="00000000" w:rsidR="00000000" w:rsidRPr="00000000">
        <w:rPr>
          <w:rFonts w:ascii="Arial" w:cs="Arial" w:eastAsia="Arial" w:hAnsi="Arial"/>
          <w:b w:val="1"/>
          <w:bCs w:val="1"/>
          <w:sz w:val="24"/>
          <w:szCs w:val="24"/>
          <w:rtl w:val="0"/>
        </w:rPr>
        <w:t xml:space="preserve">2 de noviembre de 2024</w:t>
      </w:r>
      <w:r w:rsidDel="00000000" w:rsidR="00000000" w:rsidRPr="00000000">
        <w:rPr>
          <w:rFonts w:ascii="Arial" w:cs="Arial" w:eastAsia="Arial" w:hAnsi="Arial"/>
          <w:sz w:val="24"/>
          <w:szCs w:val="24"/>
          <w:rtl w:val="0"/>
        </w:rPr>
        <w:t xml:space="preserve">, se registran:</w:t>
      </w:r>
    </w:p>
    <w:p w:rsidR="00000000" w:rsidDel="00000000" w:rsidP="00000000" w:rsidRDefault="00000000" w:rsidRPr="00000000" w14:paraId="000001E5">
      <w:pPr>
        <w:widowControl w:val="1"/>
        <w:numPr>
          <w:ilvl w:val="0"/>
          <w:numId w:val="21"/>
        </w:numPr>
        <w:spacing w:after="0" w:before="280" w:lineRule="auto"/>
        <w:ind w:left="720" w:hanging="360"/>
        <w:rPr/>
      </w:pPr>
      <w:r w:rsidDel="00000000" w:rsidR="00000000" w:rsidRPr="00000000">
        <w:rPr>
          <w:rFonts w:ascii="Arial" w:cs="Arial" w:eastAsia="Arial" w:hAnsi="Arial"/>
          <w:sz w:val="24"/>
          <w:szCs w:val="24"/>
          <w:rtl w:val="0"/>
        </w:rPr>
        <w:t xml:space="preserve">6.415.109 casos confirmados acumulados, con una tasa de contagio de 12.173,42 por 100.000 habitantes.</w:t>
      </w:r>
    </w:p>
    <w:p w:rsidR="00000000" w:rsidDel="00000000" w:rsidP="00000000" w:rsidRDefault="00000000" w:rsidRPr="00000000" w14:paraId="000001E6">
      <w:pPr>
        <w:widowControl w:val="1"/>
        <w:numPr>
          <w:ilvl w:val="0"/>
          <w:numId w:val="21"/>
        </w:numPr>
        <w:spacing w:after="280" w:before="0" w:lineRule="auto"/>
        <w:ind w:left="720" w:hanging="360"/>
        <w:rPr/>
      </w:pPr>
      <w:r w:rsidDel="00000000" w:rsidR="00000000" w:rsidRPr="00000000">
        <w:rPr>
          <w:rFonts w:ascii="Arial" w:cs="Arial" w:eastAsia="Arial" w:hAnsi="Arial"/>
          <w:sz w:val="24"/>
          <w:szCs w:val="24"/>
          <w:rtl w:val="0"/>
        </w:rPr>
        <w:t xml:space="preserve">143.465 fallecidos acumulados, con una tasa de 272,17 muertes por 100.000 habitantes y una letalidad del 2,23%.</w:t>
      </w:r>
    </w:p>
    <w:p w:rsidR="00000000" w:rsidDel="00000000" w:rsidP="00000000" w:rsidRDefault="00000000" w:rsidRPr="00000000" w14:paraId="000001E7">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Aunque se ha observado una marcada disminución de la mortalidad desde el pico de 2021, esta reducción no elimina el riesgo, especialmente ante nuevas variantes como JN.1, cuyo comportamiento evidencia alta transmisibilidad.</w:t>
      </w:r>
    </w:p>
    <w:p w:rsidR="00000000" w:rsidDel="00000000" w:rsidP="00000000" w:rsidRDefault="00000000" w:rsidRPr="00000000" w14:paraId="000001E8">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Según análisis de mortalidad del </w:t>
      </w:r>
      <w:r w:rsidDel="00000000" w:rsidR="00000000" w:rsidRPr="00000000">
        <w:rPr>
          <w:rFonts w:ascii="Arial" w:cs="Arial" w:eastAsia="Arial" w:hAnsi="Arial"/>
          <w:b w:val="1"/>
          <w:bCs w:val="1"/>
          <w:sz w:val="24"/>
          <w:szCs w:val="24"/>
          <w:rtl w:val="0"/>
        </w:rPr>
        <w:t xml:space="preserve">DANE</w:t>
      </w:r>
      <w:r w:rsidDel="00000000" w:rsidR="00000000" w:rsidRPr="00000000">
        <w:rPr>
          <w:rFonts w:ascii="Arial" w:cs="Arial" w:eastAsia="Arial" w:hAnsi="Arial"/>
          <w:sz w:val="24"/>
          <w:szCs w:val="24"/>
          <w:rtl w:val="0"/>
        </w:rPr>
        <w:t xml:space="preserve"> y datos del SIVIGILA:</w:t>
      </w:r>
    </w:p>
    <w:p w:rsidR="00000000" w:rsidDel="00000000" w:rsidP="00000000" w:rsidRDefault="00000000" w:rsidRPr="00000000" w14:paraId="000001E9">
      <w:pPr>
        <w:widowControl w:val="1"/>
        <w:numPr>
          <w:ilvl w:val="0"/>
          <w:numId w:val="22"/>
        </w:numPr>
        <w:spacing w:after="0" w:before="280" w:lineRule="auto"/>
        <w:ind w:left="720" w:hanging="360"/>
        <w:rPr/>
      </w:pPr>
      <w:r w:rsidDel="00000000" w:rsidR="00000000" w:rsidRPr="00000000">
        <w:rPr>
          <w:rFonts w:ascii="Arial" w:cs="Arial" w:eastAsia="Arial" w:hAnsi="Arial"/>
          <w:sz w:val="24"/>
          <w:szCs w:val="24"/>
          <w:rtl w:val="0"/>
        </w:rPr>
        <w:t xml:space="preserve">Entre 2021 y 2022 se observó una reducción del </w:t>
      </w: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en las defunciones.</w:t>
      </w:r>
    </w:p>
    <w:p w:rsidR="00000000" w:rsidDel="00000000" w:rsidP="00000000" w:rsidRDefault="00000000" w:rsidRPr="00000000" w14:paraId="000001EA">
      <w:pPr>
        <w:widowControl w:val="1"/>
        <w:numPr>
          <w:ilvl w:val="0"/>
          <w:numId w:val="22"/>
        </w:numPr>
        <w:spacing w:after="0" w:before="0" w:lineRule="auto"/>
        <w:ind w:left="720" w:hanging="360"/>
        <w:rPr/>
      </w:pPr>
      <w:r w:rsidDel="00000000" w:rsidR="00000000" w:rsidRPr="00000000">
        <w:rPr>
          <w:rFonts w:ascii="Arial" w:cs="Arial" w:eastAsia="Arial" w:hAnsi="Arial"/>
          <w:sz w:val="24"/>
          <w:szCs w:val="24"/>
          <w:rtl w:val="0"/>
        </w:rPr>
        <w:t xml:space="preserve">Al comparar 2021 con 2023, la disminución fue del </w:t>
      </w:r>
      <w:r w:rsidDel="00000000" w:rsidR="00000000" w:rsidRPr="00000000">
        <w:rPr>
          <w:rFonts w:ascii="Arial" w:cs="Arial" w:eastAsia="Arial" w:hAnsi="Arial"/>
          <w:b w:val="1"/>
          <w:bCs w:val="1"/>
          <w:sz w:val="24"/>
          <w:szCs w:val="24"/>
          <w:rtl w:val="0"/>
        </w:rPr>
        <w:t xml:space="preserve">99%</w:t>
      </w:r>
      <w:r w:rsidDel="00000000" w:rsidR="00000000" w:rsidRPr="00000000">
        <w:rPr>
          <w:rFonts w:ascii="Arial" w:cs="Arial" w:eastAsia="Arial" w:hAnsi="Arial"/>
          <w:sz w:val="24"/>
          <w:szCs w:val="24"/>
          <w:rtl w:val="0"/>
        </w:rPr>
        <w:t xml:space="preserve">, pasando de 85.789 muertes a 788.</w:t>
      </w:r>
    </w:p>
    <w:p w:rsidR="00000000" w:rsidDel="00000000" w:rsidP="00000000" w:rsidRDefault="00000000" w:rsidRPr="00000000" w14:paraId="000001EB">
      <w:pPr>
        <w:widowControl w:val="1"/>
        <w:numPr>
          <w:ilvl w:val="0"/>
          <w:numId w:val="22"/>
        </w:numPr>
        <w:spacing w:after="0" w:before="0" w:lineRule="auto"/>
        <w:ind w:left="720" w:hanging="360"/>
        <w:rPr/>
      </w:pPr>
      <w:r w:rsidDel="00000000" w:rsidR="00000000" w:rsidRPr="00000000">
        <w:rPr>
          <w:rFonts w:ascii="Arial" w:cs="Arial" w:eastAsia="Arial" w:hAnsi="Arial"/>
          <w:sz w:val="24"/>
          <w:szCs w:val="24"/>
          <w:rtl w:val="0"/>
        </w:rPr>
        <w:t xml:space="preserve">Para 2024, hasta el </w:t>
      </w:r>
      <w:r w:rsidDel="00000000" w:rsidR="00000000" w:rsidRPr="00000000">
        <w:rPr>
          <w:rFonts w:ascii="Arial" w:cs="Arial" w:eastAsia="Arial" w:hAnsi="Arial"/>
          <w:b w:val="1"/>
          <w:bCs w:val="1"/>
          <w:sz w:val="24"/>
          <w:szCs w:val="24"/>
          <w:rtl w:val="0"/>
        </w:rPr>
        <w:t xml:space="preserve">2 de noviembre</w:t>
      </w:r>
      <w:r w:rsidDel="00000000" w:rsidR="00000000" w:rsidRPr="00000000">
        <w:rPr>
          <w:rFonts w:ascii="Arial" w:cs="Arial" w:eastAsia="Arial" w:hAnsi="Arial"/>
          <w:sz w:val="24"/>
          <w:szCs w:val="24"/>
          <w:rtl w:val="0"/>
        </w:rPr>
        <w:t xml:space="preserve">, se han registrado </w:t>
      </w:r>
      <w:r w:rsidDel="00000000" w:rsidR="00000000" w:rsidRPr="00000000">
        <w:rPr>
          <w:rFonts w:ascii="Arial" w:cs="Arial" w:eastAsia="Arial" w:hAnsi="Arial"/>
          <w:b w:val="1"/>
          <w:bCs w:val="1"/>
          <w:sz w:val="24"/>
          <w:szCs w:val="24"/>
          <w:rtl w:val="0"/>
        </w:rPr>
        <w:t xml:space="preserve">26.035 casos y 348 defunciones</w:t>
      </w:r>
      <w:r w:rsidDel="00000000" w:rsidR="00000000" w:rsidRPr="00000000">
        <w:rPr>
          <w:rFonts w:ascii="Arial" w:cs="Arial" w:eastAsia="Arial" w:hAnsi="Arial"/>
          <w:sz w:val="24"/>
          <w:szCs w:val="24"/>
          <w:rtl w:val="0"/>
        </w:rPr>
        <w:t xml:space="preserve">, con una tasa de mortalidad de </w:t>
      </w:r>
      <w:r w:rsidDel="00000000" w:rsidR="00000000" w:rsidRPr="00000000">
        <w:rPr>
          <w:rFonts w:ascii="Arial" w:cs="Arial" w:eastAsia="Arial" w:hAnsi="Arial"/>
          <w:b w:val="1"/>
          <w:bCs w:val="1"/>
          <w:sz w:val="24"/>
          <w:szCs w:val="24"/>
          <w:rtl w:val="0"/>
        </w:rPr>
        <w:t xml:space="preserve">0,59 por 100.000 habitantes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EC">
      <w:pPr>
        <w:widowControl w:val="1"/>
        <w:numPr>
          <w:ilvl w:val="0"/>
          <w:numId w:val="22"/>
        </w:numPr>
        <w:spacing w:after="280" w:before="0" w:lineRule="auto"/>
        <w:ind w:left="720" w:hanging="360"/>
        <w:rPr/>
      </w:pPr>
      <w:r w:rsidDel="00000000" w:rsidR="00000000" w:rsidRPr="00000000">
        <w:rPr>
          <w:rFonts w:ascii="Arial" w:cs="Arial" w:eastAsia="Arial" w:hAnsi="Arial"/>
          <w:sz w:val="24"/>
          <w:szCs w:val="24"/>
          <w:rtl w:val="0"/>
        </w:rPr>
        <w:t xml:space="preserve">En las últimas semanas epidemiológicas se evidencia una </w:t>
      </w:r>
      <w:r w:rsidDel="00000000" w:rsidR="00000000" w:rsidRPr="00000000">
        <w:rPr>
          <w:rFonts w:ascii="Arial" w:cs="Arial" w:eastAsia="Arial" w:hAnsi="Arial"/>
          <w:b w:val="1"/>
          <w:bCs w:val="1"/>
          <w:sz w:val="24"/>
          <w:szCs w:val="24"/>
          <w:rtl w:val="0"/>
        </w:rPr>
        <w:t xml:space="preserve">disminución del 72%</w:t>
      </w:r>
      <w:r w:rsidDel="00000000" w:rsidR="00000000" w:rsidRPr="00000000">
        <w:rPr>
          <w:rFonts w:ascii="Arial" w:cs="Arial" w:eastAsia="Arial" w:hAnsi="Arial"/>
          <w:sz w:val="24"/>
          <w:szCs w:val="24"/>
          <w:rtl w:val="0"/>
        </w:rPr>
        <w:t xml:space="preserve"> en casos frente a semanas previas.</w:t>
      </w:r>
    </w:p>
    <w:p w:rsidR="00000000" w:rsidDel="00000000" w:rsidP="00000000" w:rsidRDefault="00000000" w:rsidRPr="00000000" w14:paraId="000001ED">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pesar de esta tendencia sostenida a la baja, el riesgo de reemergencia persiste, especialmente en poblaciones con baja respuesta inmune, personas sin refuerzos recientes o con riesgo aumentado de complicaciones. Por ello, la disponibilidad del biológico </w:t>
      </w:r>
      <w:r w:rsidDel="00000000" w:rsidR="00000000" w:rsidRPr="00000000">
        <w:rPr>
          <w:rFonts w:ascii="Arial" w:cs="Arial" w:eastAsia="Arial" w:hAnsi="Arial"/>
          <w:b w:val="1"/>
          <w:bCs w:val="1"/>
          <w:sz w:val="24"/>
          <w:szCs w:val="24"/>
          <w:rtl w:val="0"/>
        </w:rPr>
        <w:t xml:space="preserve">Pfizer JN.1</w:t>
      </w:r>
      <w:r w:rsidDel="00000000" w:rsidR="00000000" w:rsidRPr="00000000">
        <w:rPr>
          <w:rFonts w:ascii="Arial" w:cs="Arial" w:eastAsia="Arial" w:hAnsi="Arial"/>
          <w:sz w:val="24"/>
          <w:szCs w:val="24"/>
          <w:rtl w:val="0"/>
        </w:rPr>
        <w:t xml:space="preserve">, formulado para una de las variantes actualmente más predominantes a nivel global, resulta prioritaria para mantener la protección colectiva y reducir la carga de enfermedad.</w:t>
      </w:r>
    </w:p>
    <w:p w:rsidR="00000000" w:rsidDel="00000000" w:rsidP="00000000" w:rsidRDefault="00000000" w:rsidRPr="00000000" w14:paraId="000001EE">
      <w:pPr>
        <w:widowControl w:val="1"/>
        <w:spacing w:after="280" w:before="28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En este contexto, la vacunación con Pfizer JN.1 se justifica plenamente</w:t>
      </w:r>
      <w:r w:rsidDel="00000000" w:rsidR="00000000" w:rsidRPr="00000000">
        <w:rPr>
          <w:rFonts w:ascii="Arial" w:cs="Arial" w:eastAsia="Arial" w:hAnsi="Arial"/>
          <w:sz w:val="24"/>
          <w:szCs w:val="24"/>
          <w:rtl w:val="0"/>
        </w:rPr>
        <w:t xml:space="preserve">, tanto por su actualización frente a variantes en circulación, como por su seguridad, eficacia, respaldo normativo y evidencia epidemiológica; además de su importancia estratégica dentro del PAI para continuar disminuyendo hospitalizaciones, complicaciones y mortalidad asociada al COVID-19.</w:t>
      </w:r>
    </w:p>
    <w:p w:rsidR="00000000" w:rsidDel="00000000" w:rsidP="00000000" w:rsidRDefault="00000000" w:rsidRPr="00000000" w14:paraId="000001EF">
      <w:pPr>
        <w:pStyle w:val="Heading2"/>
        <w:ind w:left="0" w:firstLine="0"/>
        <w:rPr/>
      </w:pPr>
      <w:r w:rsidDel="00000000" w:rsidR="00000000" w:rsidRPr="00000000">
        <w:rPr>
          <w:rtl w:val="0"/>
        </w:rPr>
      </w:r>
    </w:p>
    <w:p w:rsidR="00000000" w:rsidDel="00000000" w:rsidP="00000000" w:rsidRDefault="00000000" w:rsidRPr="00000000" w14:paraId="000001F0">
      <w:pPr>
        <w:pStyle w:val="Heading2"/>
        <w:ind w:left="0" w:firstLine="0"/>
        <w:rPr/>
      </w:pPr>
      <w:r w:rsidDel="00000000" w:rsidR="00000000" w:rsidRPr="00000000">
        <w:rPr>
          <w:rtl w:val="0"/>
        </w:rPr>
        <w:t xml:space="preserve">1. Objetivo General</w:t>
      </w:r>
    </w:p>
    <w:p w:rsidR="00000000" w:rsidDel="00000000" w:rsidP="00000000" w:rsidRDefault="00000000" w:rsidRPr="00000000" w14:paraId="000001F1">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Intensificar las acciones de vacunación que permitan captar la población objeto del programa para iniciar, continuar y completar los esquemas de vacunación y alcanzar coberturas útiles en la ciudad Santiago de Cali, donde se encuentran las 150 IPS vacunadoras, contribuyendo así a la disminución de la morbilidad por eventos prevenibles por vacunación</w:t>
      </w:r>
    </w:p>
    <w:p w:rsidR="00000000" w:rsidDel="00000000" w:rsidP="00000000" w:rsidRDefault="00000000" w:rsidRPr="00000000" w14:paraId="000001F2">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4">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5">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6">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7">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b w:val="1"/>
          <w:bCs w:val="1"/>
          <w:sz w:val="24"/>
          <w:szCs w:val="24"/>
          <w:rtl w:val="0"/>
        </w:rPr>
        <w:t xml:space="preserve">Objetivos Específicos</w:t>
      </w:r>
      <w:r w:rsidDel="00000000" w:rsidR="00000000" w:rsidRPr="00000000">
        <w:rPr>
          <w:rtl w:val="0"/>
        </w:rPr>
      </w:r>
    </w:p>
    <w:p w:rsidR="00000000" w:rsidDel="00000000" w:rsidP="00000000" w:rsidRDefault="00000000" w:rsidRPr="00000000" w14:paraId="000001F8">
      <w:pPr>
        <w:widowControl w:val="1"/>
        <w:numPr>
          <w:ilvl w:val="0"/>
          <w:numId w:val="4"/>
        </w:numPr>
        <w:spacing w:after="0" w:before="2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Fortalecer la búsqueda activa de personas que aún no inician o no han completado su esquema de vacunación contra COVID-19.</w:t>
      </w:r>
    </w:p>
    <w:p w:rsidR="00000000" w:rsidDel="00000000" w:rsidP="00000000" w:rsidRDefault="00000000" w:rsidRPr="00000000" w14:paraId="000001F9">
      <w:pPr>
        <w:widowControl w:val="1"/>
        <w:numPr>
          <w:ilvl w:val="0"/>
          <w:numId w:val="4"/>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Asegurar el acceso equitativo a dosis adicionales en población priorizada según los lineamientos del Ministerio de Salud.</w:t>
      </w:r>
    </w:p>
    <w:p w:rsidR="00000000" w:rsidDel="00000000" w:rsidP="00000000" w:rsidRDefault="00000000" w:rsidRPr="00000000" w14:paraId="000001FA">
      <w:pPr>
        <w:widowControl w:val="1"/>
        <w:numPr>
          <w:ilvl w:val="0"/>
          <w:numId w:val="4"/>
        </w:numPr>
        <w:spacing w:after="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Optimizar la logística de aplicación de biológicos mediante las IPS vacunadoras en zonas urbanas y rurales.</w:t>
      </w:r>
    </w:p>
    <w:p w:rsidR="00000000" w:rsidDel="00000000" w:rsidP="00000000" w:rsidRDefault="00000000" w:rsidRPr="00000000" w14:paraId="000001FB">
      <w:pPr>
        <w:widowControl w:val="1"/>
        <w:numPr>
          <w:ilvl w:val="0"/>
          <w:numId w:val="4"/>
        </w:numPr>
        <w:spacing w:after="280" w:before="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Monitorear y evaluar las coberturas por grupo etario con base en el avance del Plan Nacional de Vacunación.</w:t>
      </w:r>
    </w:p>
    <w:p w:rsidR="00000000" w:rsidDel="00000000" w:rsidP="00000000" w:rsidRDefault="00000000" w:rsidRPr="00000000" w14:paraId="000001FC">
      <w:pPr>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rtl w:val="0"/>
        </w:rPr>
        <w:t xml:space="preserve">Para el mes de julio de 2025 nos llegó como </w:t>
      </w:r>
      <w:r w:rsidDel="00000000" w:rsidR="00000000" w:rsidRPr="00000000">
        <w:rPr>
          <w:rFonts w:ascii="Arial" w:cs="Arial" w:eastAsia="Arial" w:hAnsi="Arial"/>
          <w:color w:val="000000"/>
          <w:sz w:val="24"/>
          <w:szCs w:val="24"/>
          <w:highlight w:val="white"/>
          <w:rtl w:val="0"/>
        </w:rPr>
        <w:t xml:space="preserve">Ente Territorial Secretaría de Salud Distrital de Cali, cumpliendo con las directrices emanadas del Ministerio de Salud y Protección Social mediante radicado descrito, realiza la distribución de acuerdo a los lineamientos del Plan Nacional de Vacunación del Programa Ampliado de Inmunización. </w:t>
      </w:r>
    </w:p>
    <w:p w:rsidR="00000000" w:rsidDel="00000000" w:rsidP="00000000" w:rsidRDefault="00000000" w:rsidRPr="00000000" w14:paraId="000001FD">
      <w:pPr>
        <w:jc w:val="both"/>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1FE">
      <w:pPr>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continuación, se relacionan las cantidades asignadas por EAPB, discriminadas por IPS vacunadora (cubren la población asegurada de la respectiva EAPB).</w:t>
      </w:r>
    </w:p>
    <w:p w:rsidR="00000000" w:rsidDel="00000000" w:rsidP="00000000" w:rsidRDefault="00000000" w:rsidRPr="00000000" w14:paraId="000001FF">
      <w:pPr>
        <w:jc w:val="both"/>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Tabla No. 1. Distribución por EAPB y por IPS.</w:t>
      </w:r>
    </w:p>
    <w:p w:rsidR="00000000" w:rsidDel="00000000" w:rsidP="00000000" w:rsidRDefault="00000000" w:rsidRPr="00000000" w14:paraId="00000200">
      <w:pPr>
        <w:jc w:val="both"/>
        <w:rPr>
          <w:rFonts w:ascii="Arial" w:cs="Arial" w:eastAsia="Arial" w:hAnsi="Arial"/>
          <w:b w:val="1"/>
          <w:bCs w:val="1"/>
          <w:color w:val="000000"/>
          <w:highlight w:val="white"/>
        </w:rPr>
      </w:pPr>
      <w:r w:rsidDel="00000000" w:rsidR="00000000" w:rsidRPr="00000000">
        <w:rPr>
          <w:rtl w:val="0"/>
        </w:rPr>
      </w:r>
    </w:p>
    <w:p w:rsidR="00000000" w:rsidDel="00000000" w:rsidP="00000000" w:rsidRDefault="00000000" w:rsidRPr="00000000" w14:paraId="00000201">
      <w:pPr>
        <w:jc w:val="both"/>
        <w:rPr>
          <w:rFonts w:ascii="Arial" w:cs="Arial" w:eastAsia="Arial" w:hAnsi="Arial"/>
          <w:b w:val="1"/>
          <w:bCs w:val="1"/>
          <w:color w:val="000000"/>
          <w:highlight w:val="white"/>
        </w:rPr>
      </w:pPr>
      <w:r w:rsidDel="00000000" w:rsidR="00000000" w:rsidRPr="00000000">
        <w:rPr>
          <w:rtl w:val="0"/>
        </w:rPr>
      </w:r>
    </w:p>
    <w:p w:rsidR="00000000" w:rsidDel="00000000" w:rsidP="00000000" w:rsidRDefault="00000000" w:rsidRPr="00000000" w14:paraId="00000202">
      <w:pPr>
        <w:jc w:val="both"/>
        <w:rPr>
          <w:rFonts w:ascii="Arial" w:cs="Arial" w:eastAsia="Arial" w:hAnsi="Arial"/>
          <w:b w:val="1"/>
          <w:bCs w:val="1"/>
          <w:color w:val="000000"/>
          <w:highlight w:val="white"/>
        </w:rPr>
      </w:pPr>
      <w:r w:rsidDel="00000000" w:rsidR="00000000" w:rsidRPr="00000000">
        <w:rPr>
          <w:rFonts w:ascii="Arial" w:cs="Arial" w:eastAsia="Arial" w:hAnsi="Arial"/>
          <w:b w:val="1"/>
          <w:bCs w:val="1"/>
          <w:color w:val="000000"/>
          <w:highlight w:val="white"/>
          <w:rtl w:val="0"/>
        </w:rPr>
        <w:t xml:space="preserve">3 DISTRIBUCION POR EAPB</w:t>
      </w:r>
    </w:p>
    <w:p w:rsidR="00000000" w:rsidDel="00000000" w:rsidP="00000000" w:rsidRDefault="00000000" w:rsidRPr="00000000" w14:paraId="00000203">
      <w:pPr>
        <w:jc w:val="both"/>
        <w:rPr>
          <w:rFonts w:ascii="Arial" w:cs="Arial" w:eastAsia="Arial" w:hAnsi="Arial"/>
          <w:b w:val="1"/>
          <w:bCs w:val="1"/>
          <w:color w:val="000000"/>
          <w:highlight w:val="white"/>
        </w:rPr>
      </w:pPr>
      <w:r w:rsidDel="00000000" w:rsidR="00000000" w:rsidRPr="00000000">
        <w:rPr>
          <w:rtl w:val="0"/>
        </w:rPr>
      </w:r>
    </w:p>
    <w:p w:rsidR="00000000" w:rsidDel="00000000" w:rsidP="00000000" w:rsidRDefault="00000000" w:rsidRPr="00000000" w14:paraId="00000204">
      <w:pPr>
        <w:jc w:val="center"/>
        <w:rPr>
          <w:rFonts w:ascii="Arial" w:cs="Arial" w:eastAsia="Arial" w:hAnsi="Arial"/>
          <w:b w:val="1"/>
          <w:bCs w:val="1"/>
          <w:color w:val="000000"/>
          <w:highlight w:val="white"/>
        </w:rPr>
      </w:pPr>
      <w:r w:rsidDel="00000000" w:rsidR="00000000" w:rsidRPr="00000000">
        <w:rPr>
          <w:rtl w:val="0"/>
        </w:rPr>
      </w:r>
    </w:p>
    <w:tbl>
      <w:tblPr>
        <w:tblStyle w:val="Table5"/>
        <w:tblW w:w="6600.0" w:type="dxa"/>
        <w:jc w:val="center"/>
        <w:tblLayout w:type="fixed"/>
        <w:tblLook w:val="0400"/>
      </w:tblPr>
      <w:tblGrid>
        <w:gridCol w:w="1320"/>
        <w:gridCol w:w="1320"/>
        <w:gridCol w:w="1320"/>
        <w:gridCol w:w="1320"/>
        <w:gridCol w:w="1320"/>
        <w:tblGridChange w:id="0">
          <w:tblGrid>
            <w:gridCol w:w="1320"/>
            <w:gridCol w:w="1320"/>
            <w:gridCol w:w="1320"/>
            <w:gridCol w:w="1320"/>
            <w:gridCol w:w="1320"/>
          </w:tblGrid>
        </w:tblGridChange>
      </w:tblGrid>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83cceb" w:val="clear"/>
            <w:vAlign w:val="bottom"/>
          </w:tcPr>
          <w:p w:rsidR="00000000" w:rsidDel="00000000" w:rsidP="00000000" w:rsidRDefault="00000000" w:rsidRPr="00000000" w14:paraId="00000205">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EAPB </w:t>
            </w:r>
          </w:p>
        </w:tc>
        <w:tc>
          <w:tcPr>
            <w:tcBorders>
              <w:top w:color="000000" w:space="0" w:sz="4" w:val="single"/>
              <w:left w:color="000000" w:space="0" w:sz="0" w:val="nil"/>
              <w:bottom w:color="000000" w:space="0" w:sz="4" w:val="single"/>
              <w:right w:color="000000" w:space="0" w:sz="4" w:val="single"/>
            </w:tcBorders>
            <w:shd w:fill="83cceb" w:val="clear"/>
            <w:vAlign w:val="bottom"/>
          </w:tcPr>
          <w:p w:rsidR="00000000" w:rsidDel="00000000" w:rsidP="00000000" w:rsidRDefault="00000000" w:rsidRPr="00000000" w14:paraId="00000208">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FRASCOS</w:t>
            </w:r>
          </w:p>
        </w:tc>
        <w:tc>
          <w:tcPr>
            <w:tcBorders>
              <w:top w:color="000000" w:space="0" w:sz="4" w:val="single"/>
              <w:left w:color="000000" w:space="0" w:sz="0" w:val="nil"/>
              <w:bottom w:color="000000" w:space="0" w:sz="4" w:val="single"/>
              <w:right w:color="000000" w:space="0" w:sz="4" w:val="single"/>
            </w:tcBorders>
            <w:shd w:fill="83cceb" w:val="clear"/>
            <w:vAlign w:val="bottom"/>
          </w:tcPr>
          <w:p w:rsidR="00000000" w:rsidDel="00000000" w:rsidP="00000000" w:rsidRDefault="00000000" w:rsidRPr="00000000" w14:paraId="00000209">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DOSIS</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A">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EMSSANAR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D">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0E">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378</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0F">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SURAMERICANA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2">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40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3">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240</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14">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NUEVA EPS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7">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34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8">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204</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19">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COOSALUD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C">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D">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96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1E">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SERVICIO OCCIDENTAL DE SALUD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1">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31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2">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186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23">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SANITAS SA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6">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37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7">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222</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28">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COMFENALCO VALE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B">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C">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90</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2D">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SALUD TOTAL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0">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43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1">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258</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32">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MAGISTERIO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5">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6">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37">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ASMETSALUD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A">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B">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3C">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SANIDAD POLICIA NACIONAL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F">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40">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12</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41">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FAMISANAR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44">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45">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46">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SANIDAD EJERCITO NACIONAL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49">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4A">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4B">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SANIDAD MILITAR EMAVI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4E">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4F">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50">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AIC</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3">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4">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55">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MALLAMAS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8">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9">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5A">
            <w:pPr>
              <w:widowControl w:val="1"/>
              <w:jc w:val="center"/>
              <w:rPr>
                <w:rFonts w:ascii="Arial" w:cs="Arial" w:eastAsia="Arial" w:hAnsi="Arial"/>
                <w:color w:val="000000"/>
              </w:rPr>
            </w:pPr>
            <w:r w:rsidDel="00000000" w:rsidR="00000000" w:rsidRPr="00000000">
              <w:rPr>
                <w:rFonts w:ascii="Arial" w:cs="Arial" w:eastAsia="Arial" w:hAnsi="Arial"/>
                <w:color w:val="000000"/>
                <w:rtl w:val="0"/>
              </w:rPr>
              <w:t xml:space="preserve">PUERTOS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D">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E">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6</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5F">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0">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1">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2">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300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3">
            <w:pPr>
              <w:widowControl w:val="1"/>
              <w:jc w:val="right"/>
              <w:rPr>
                <w:rFonts w:ascii="Arial" w:cs="Arial" w:eastAsia="Arial" w:hAnsi="Arial"/>
                <w:color w:val="000000"/>
              </w:rPr>
            </w:pPr>
            <w:r w:rsidDel="00000000" w:rsidR="00000000" w:rsidRPr="00000000">
              <w:rPr>
                <w:rFonts w:ascii="Arial" w:cs="Arial" w:eastAsia="Arial" w:hAnsi="Arial"/>
                <w:color w:val="000000"/>
                <w:rtl w:val="0"/>
              </w:rPr>
              <w:t xml:space="preserve">1.800</w:t>
            </w:r>
          </w:p>
        </w:tc>
      </w:tr>
    </w:tbl>
    <w:p w:rsidR="00000000" w:rsidDel="00000000" w:rsidP="00000000" w:rsidRDefault="00000000" w:rsidRPr="00000000" w14:paraId="00000264">
      <w:pPr>
        <w:widowControl w:val="1"/>
        <w:spacing w:after="280" w:before="28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5">
      <w:pPr>
        <w:widowControl w:val="1"/>
        <w:spacing w:after="280" w:before="28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6">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Esta distribución de biológicos, se presenta el consolidado correspondiente al número de frascos y dosis asignadas por cada Entidad Administradora de Planes de Beneficios (EAPB). Este registro permite llevar un control preciso del inventario empleado y garantizar la adecuada planificación para los procesos de vacunación</w:t>
      </w:r>
    </w:p>
    <w:p w:rsidR="00000000" w:rsidDel="00000000" w:rsidP="00000000" w:rsidRDefault="00000000" w:rsidRPr="00000000" w14:paraId="00000267">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Garantizar la aplicación oportuna, equitativa y eficiente del biológico </w:t>
      </w:r>
      <w:r w:rsidDel="00000000" w:rsidR="00000000" w:rsidRPr="00000000">
        <w:rPr>
          <w:rFonts w:ascii="Arial" w:cs="Arial" w:eastAsia="Arial" w:hAnsi="Arial"/>
          <w:b w:val="1"/>
          <w:bCs w:val="1"/>
          <w:sz w:val="24"/>
          <w:szCs w:val="24"/>
          <w:rtl w:val="0"/>
        </w:rPr>
        <w:t xml:space="preserve">Pfizer Comirnaty Ómicron JN.1</w:t>
      </w:r>
      <w:r w:rsidDel="00000000" w:rsidR="00000000" w:rsidRPr="00000000">
        <w:rPr>
          <w:rFonts w:ascii="Arial" w:cs="Arial" w:eastAsia="Arial" w:hAnsi="Arial"/>
          <w:sz w:val="24"/>
          <w:szCs w:val="24"/>
          <w:rtl w:val="0"/>
        </w:rPr>
        <w:t xml:space="preserve"> para COVID-19, priorizando los grupos establecidos por el Ministerio de Salud, organizados por grupo etario, asegurando la no pérdida de dosis al abrir un vial (6 dosis por vial – vida útil de 6 horas una vez reconstituido).</w:t>
      </w:r>
    </w:p>
    <w:p w:rsidR="00000000" w:rsidDel="00000000" w:rsidP="00000000" w:rsidRDefault="00000000" w:rsidRPr="00000000" w14:paraId="00000268">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1"/>
          <w:bCs w:val="1"/>
          <w:sz w:val="24"/>
          <w:szCs w:val="24"/>
          <w:rtl w:val="0"/>
        </w:rPr>
        <w:t xml:space="preserve">GRUPO POBLACIONAL</w:t>
      </w:r>
      <w:r w:rsidDel="00000000" w:rsidR="00000000" w:rsidRPr="00000000">
        <w:rPr>
          <w:rFonts w:ascii="Arial" w:cs="Arial" w:eastAsia="Arial" w:hAnsi="Arial"/>
          <w:sz w:val="24"/>
          <w:szCs w:val="24"/>
          <w:rtl w:val="0"/>
        </w:rPr>
        <w:t xml:space="preserve"> </w:t>
      </w:r>
    </w:p>
    <w:tbl>
      <w:tblPr>
        <w:tblStyle w:val="Table6"/>
        <w:tblW w:w="97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96"/>
        <w:gridCol w:w="1149"/>
        <w:gridCol w:w="3314"/>
        <w:gridCol w:w="2451"/>
        <w:tblGridChange w:id="0">
          <w:tblGrid>
            <w:gridCol w:w="2796"/>
            <w:gridCol w:w="1149"/>
            <w:gridCol w:w="3314"/>
            <w:gridCol w:w="2451"/>
          </w:tblGrid>
        </w:tblGridChange>
      </w:tblGrid>
      <w:tr>
        <w:trPr>
          <w:cantSplit w:val="0"/>
          <w:tblHeader w:val="1"/>
        </w:trPr>
        <w:tc>
          <w:tcPr>
            <w:vAlign w:val="center"/>
          </w:tcPr>
          <w:p w:rsidR="00000000" w:rsidDel="00000000" w:rsidP="00000000" w:rsidRDefault="00000000" w:rsidRPr="00000000" w14:paraId="00000269">
            <w:pPr>
              <w:widowControl w:val="1"/>
              <w:jc w:val="center"/>
              <w:rPr>
                <w:b w:val="1"/>
                <w:bCs w:val="1"/>
              </w:rPr>
            </w:pPr>
            <w:r w:rsidDel="00000000" w:rsidR="00000000" w:rsidRPr="00000000">
              <w:rPr>
                <w:b w:val="1"/>
                <w:bCs w:val="1"/>
                <w:rtl w:val="0"/>
              </w:rPr>
              <w:t xml:space="preserve">Grupo poblacional</w:t>
            </w:r>
          </w:p>
        </w:tc>
        <w:tc>
          <w:tcPr>
            <w:vAlign w:val="center"/>
          </w:tcPr>
          <w:p w:rsidR="00000000" w:rsidDel="00000000" w:rsidP="00000000" w:rsidRDefault="00000000" w:rsidRPr="00000000" w14:paraId="0000026A">
            <w:pPr>
              <w:widowControl w:val="1"/>
              <w:jc w:val="center"/>
              <w:rPr>
                <w:b w:val="1"/>
                <w:bCs w:val="1"/>
              </w:rPr>
            </w:pPr>
            <w:r w:rsidDel="00000000" w:rsidR="00000000" w:rsidRPr="00000000">
              <w:rPr>
                <w:b w:val="1"/>
                <w:bCs w:val="1"/>
                <w:rtl w:val="0"/>
              </w:rPr>
              <w:t xml:space="preserve">Dosis</w:t>
            </w:r>
          </w:p>
        </w:tc>
        <w:tc>
          <w:tcPr>
            <w:vAlign w:val="center"/>
          </w:tcPr>
          <w:p w:rsidR="00000000" w:rsidDel="00000000" w:rsidP="00000000" w:rsidRDefault="00000000" w:rsidRPr="00000000" w14:paraId="0000026B">
            <w:pPr>
              <w:widowControl w:val="1"/>
              <w:jc w:val="center"/>
              <w:rPr>
                <w:b w:val="1"/>
                <w:bCs w:val="1"/>
              </w:rPr>
            </w:pPr>
            <w:r w:rsidDel="00000000" w:rsidR="00000000" w:rsidRPr="00000000">
              <w:rPr>
                <w:b w:val="1"/>
                <w:bCs w:val="1"/>
                <w:rtl w:val="0"/>
              </w:rPr>
              <w:t xml:space="preserve">Condición</w:t>
            </w:r>
          </w:p>
        </w:tc>
        <w:tc>
          <w:tcPr>
            <w:vAlign w:val="center"/>
          </w:tcPr>
          <w:p w:rsidR="00000000" w:rsidDel="00000000" w:rsidP="00000000" w:rsidRDefault="00000000" w:rsidRPr="00000000" w14:paraId="0000026C">
            <w:pPr>
              <w:widowControl w:val="1"/>
              <w:jc w:val="center"/>
              <w:rPr>
                <w:b w:val="1"/>
                <w:bCs w:val="1"/>
              </w:rPr>
            </w:pPr>
            <w:r w:rsidDel="00000000" w:rsidR="00000000" w:rsidRPr="00000000">
              <w:rPr>
                <w:b w:val="1"/>
                <w:bCs w:val="1"/>
                <w:rtl w:val="0"/>
              </w:rPr>
              <w:t xml:space="preserve">Intervalo mínimo</w:t>
            </w:r>
          </w:p>
          <w:p w:rsidR="00000000" w:rsidDel="00000000" w:rsidP="00000000" w:rsidRDefault="00000000" w:rsidRPr="00000000" w14:paraId="0000026D">
            <w:pPr>
              <w:widowControl w:val="1"/>
              <w:jc w:val="center"/>
              <w:rPr>
                <w:b w:val="1"/>
                <w:bCs w:val="1"/>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E">
            <w:pPr>
              <w:widowControl w:val="1"/>
              <w:rPr/>
            </w:pPr>
            <w:r w:rsidDel="00000000" w:rsidR="00000000" w:rsidRPr="00000000">
              <w:rPr>
                <w:b w:val="1"/>
                <w:bCs w:val="1"/>
                <w:rtl w:val="0"/>
              </w:rPr>
              <w:t xml:space="preserve">Gestantes</w:t>
            </w:r>
            <w:r w:rsidDel="00000000" w:rsidR="00000000" w:rsidRPr="00000000">
              <w:rPr>
                <w:rtl w:val="0"/>
              </w:rPr>
            </w:r>
          </w:p>
        </w:tc>
        <w:tc>
          <w:tcPr>
            <w:vAlign w:val="center"/>
          </w:tcPr>
          <w:p w:rsidR="00000000" w:rsidDel="00000000" w:rsidP="00000000" w:rsidRDefault="00000000" w:rsidRPr="00000000" w14:paraId="0000026F">
            <w:pPr>
              <w:widowControl w:val="1"/>
              <w:rPr/>
            </w:pPr>
            <w:r w:rsidDel="00000000" w:rsidR="00000000" w:rsidRPr="00000000">
              <w:rPr>
                <w:rtl w:val="0"/>
              </w:rPr>
              <w:t xml:space="preserve">Dosis única (0,3 ml)</w:t>
            </w:r>
          </w:p>
        </w:tc>
        <w:tc>
          <w:tcPr>
            <w:vAlign w:val="center"/>
          </w:tcPr>
          <w:p w:rsidR="00000000" w:rsidDel="00000000" w:rsidP="00000000" w:rsidRDefault="00000000" w:rsidRPr="00000000" w14:paraId="00000270">
            <w:pPr>
              <w:widowControl w:val="1"/>
              <w:rPr/>
            </w:pPr>
            <w:r w:rsidDel="00000000" w:rsidR="00000000" w:rsidRPr="00000000">
              <w:rPr>
                <w:rtl w:val="0"/>
              </w:rPr>
              <w:t xml:space="preserve">Después de la </w:t>
            </w:r>
            <w:r w:rsidDel="00000000" w:rsidR="00000000" w:rsidRPr="00000000">
              <w:rPr>
                <w:b w:val="1"/>
                <w:bCs w:val="1"/>
                <w:rtl w:val="0"/>
              </w:rPr>
              <w:t xml:space="preserve">semana 12 de gestación</w:t>
            </w:r>
            <w:r w:rsidDel="00000000" w:rsidR="00000000" w:rsidRPr="00000000">
              <w:rPr>
                <w:rtl w:val="0"/>
              </w:rPr>
            </w:r>
          </w:p>
        </w:tc>
        <w:tc>
          <w:tcPr>
            <w:vAlign w:val="center"/>
          </w:tcPr>
          <w:p w:rsidR="00000000" w:rsidDel="00000000" w:rsidP="00000000" w:rsidRDefault="00000000" w:rsidRPr="00000000" w14:paraId="00000271">
            <w:pPr>
              <w:widowControl w:val="1"/>
              <w:rPr/>
            </w:pPr>
            <w:r w:rsidDel="00000000" w:rsidR="00000000" w:rsidRPr="00000000">
              <w:rPr>
                <w:rtl w:val="0"/>
              </w:rPr>
              <w:t xml:space="preserve">Mínimo </w:t>
            </w:r>
            <w:r w:rsidDel="00000000" w:rsidR="00000000" w:rsidRPr="00000000">
              <w:rPr>
                <w:b w:val="1"/>
                <w:bCs w:val="1"/>
                <w:rtl w:val="0"/>
              </w:rPr>
              <w:t xml:space="preserve">6 meses</w:t>
            </w:r>
            <w:r w:rsidDel="00000000" w:rsidR="00000000" w:rsidRPr="00000000">
              <w:rPr>
                <w:rtl w:val="0"/>
              </w:rPr>
              <w:t xml:space="preserve"> desde la última vacuna COVID-19</w:t>
            </w:r>
          </w:p>
        </w:tc>
      </w:tr>
      <w:tr>
        <w:trPr>
          <w:cantSplit w:val="0"/>
          <w:tblHeader w:val="0"/>
        </w:trPr>
        <w:tc>
          <w:tcPr>
            <w:vAlign w:val="center"/>
          </w:tcPr>
          <w:p w:rsidR="00000000" w:rsidDel="00000000" w:rsidP="00000000" w:rsidRDefault="00000000" w:rsidRPr="00000000" w14:paraId="00000272">
            <w:pPr>
              <w:widowControl w:val="1"/>
              <w:rPr/>
            </w:pPr>
            <w:r w:rsidDel="00000000" w:rsidR="00000000" w:rsidRPr="00000000">
              <w:rPr>
                <w:rFonts w:ascii="Arial Unicode MS" w:cs="Arial Unicode MS" w:eastAsia="Arial Unicode MS" w:hAnsi="Arial Unicode MS"/>
                <w:b w:val="1"/>
                <w:bCs w:val="1"/>
                <w:rtl w:val="0"/>
              </w:rPr>
              <w:t xml:space="preserve">Personas ≥12 años con o sin comorbilidades</w:t>
            </w:r>
            <w:r w:rsidDel="00000000" w:rsidR="00000000" w:rsidRPr="00000000">
              <w:rPr>
                <w:rtl w:val="0"/>
              </w:rPr>
            </w:r>
          </w:p>
        </w:tc>
        <w:tc>
          <w:tcPr>
            <w:vAlign w:val="center"/>
          </w:tcPr>
          <w:p w:rsidR="00000000" w:rsidDel="00000000" w:rsidP="00000000" w:rsidRDefault="00000000" w:rsidRPr="00000000" w14:paraId="00000273">
            <w:pPr>
              <w:widowControl w:val="1"/>
              <w:rPr/>
            </w:pPr>
            <w:r w:rsidDel="00000000" w:rsidR="00000000" w:rsidRPr="00000000">
              <w:rPr>
                <w:rtl w:val="0"/>
              </w:rPr>
              <w:t xml:space="preserve">Dosis única (0,3 ml)</w:t>
            </w:r>
          </w:p>
        </w:tc>
        <w:tc>
          <w:tcPr>
            <w:vAlign w:val="center"/>
          </w:tcPr>
          <w:p w:rsidR="00000000" w:rsidDel="00000000" w:rsidP="00000000" w:rsidRDefault="00000000" w:rsidRPr="00000000" w14:paraId="00000274">
            <w:pPr>
              <w:widowControl w:val="1"/>
              <w:rPr/>
            </w:pPr>
            <w:r w:rsidDel="00000000" w:rsidR="00000000" w:rsidRPr="00000000">
              <w:rPr>
                <w:rtl w:val="0"/>
              </w:rPr>
              <w:t xml:space="preserve">Que hayan recibido previamente vacuna contra COVID-19</w:t>
            </w:r>
          </w:p>
        </w:tc>
        <w:tc>
          <w:tcPr>
            <w:vAlign w:val="center"/>
          </w:tcPr>
          <w:p w:rsidR="00000000" w:rsidDel="00000000" w:rsidP="00000000" w:rsidRDefault="00000000" w:rsidRPr="00000000" w14:paraId="00000275">
            <w:pPr>
              <w:widowControl w:val="1"/>
              <w:rPr/>
            </w:pPr>
            <w:r w:rsidDel="00000000" w:rsidR="00000000" w:rsidRPr="00000000">
              <w:rPr>
                <w:rtl w:val="0"/>
              </w:rPr>
              <w:t xml:space="preserve">Mínimo </w:t>
            </w:r>
            <w:r w:rsidDel="00000000" w:rsidR="00000000" w:rsidRPr="00000000">
              <w:rPr>
                <w:b w:val="1"/>
                <w:bCs w:val="1"/>
                <w:rtl w:val="0"/>
              </w:rPr>
              <w:t xml:space="preserve">6 meses</w:t>
            </w:r>
            <w:r w:rsidDel="00000000" w:rsidR="00000000" w:rsidRPr="00000000">
              <w:rPr>
                <w:rtl w:val="0"/>
              </w:rPr>
              <w:t xml:space="preserve"> desde la última dosis</w:t>
            </w:r>
          </w:p>
        </w:tc>
      </w:tr>
      <w:tr>
        <w:trPr>
          <w:cantSplit w:val="0"/>
          <w:tblHeader w:val="0"/>
        </w:trPr>
        <w:tc>
          <w:tcPr>
            <w:vAlign w:val="center"/>
          </w:tcPr>
          <w:p w:rsidR="00000000" w:rsidDel="00000000" w:rsidP="00000000" w:rsidRDefault="00000000" w:rsidRPr="00000000" w14:paraId="00000276">
            <w:pPr>
              <w:widowControl w:val="1"/>
              <w:rPr/>
            </w:pPr>
            <w:r w:rsidDel="00000000" w:rsidR="00000000" w:rsidRPr="00000000">
              <w:rPr>
                <w:b w:val="1"/>
                <w:bCs w:val="1"/>
                <w:rtl w:val="0"/>
              </w:rPr>
              <w:t xml:space="preserve">Talento humano en salud</w:t>
            </w:r>
            <w:r w:rsidDel="00000000" w:rsidR="00000000" w:rsidRPr="00000000">
              <w:rPr>
                <w:rtl w:val="0"/>
              </w:rPr>
            </w:r>
          </w:p>
        </w:tc>
        <w:tc>
          <w:tcPr>
            <w:vAlign w:val="center"/>
          </w:tcPr>
          <w:p w:rsidR="00000000" w:rsidDel="00000000" w:rsidP="00000000" w:rsidRDefault="00000000" w:rsidRPr="00000000" w14:paraId="00000277">
            <w:pPr>
              <w:widowControl w:val="1"/>
              <w:rPr/>
            </w:pPr>
            <w:r w:rsidDel="00000000" w:rsidR="00000000" w:rsidRPr="00000000">
              <w:rPr>
                <w:rtl w:val="0"/>
              </w:rPr>
              <w:t xml:space="preserve">Dosis única (0,3 ml)</w:t>
            </w:r>
          </w:p>
        </w:tc>
        <w:tc>
          <w:tcPr>
            <w:vAlign w:val="center"/>
          </w:tcPr>
          <w:p w:rsidR="00000000" w:rsidDel="00000000" w:rsidP="00000000" w:rsidRDefault="00000000" w:rsidRPr="00000000" w14:paraId="00000278">
            <w:pPr>
              <w:widowControl w:val="1"/>
              <w:rPr/>
            </w:pPr>
            <w:r w:rsidDel="00000000" w:rsidR="00000000" w:rsidRPr="00000000">
              <w:rPr>
                <w:rtl w:val="0"/>
              </w:rPr>
              <w:t xml:space="preserve">Debe haber pasado al menos </w:t>
            </w:r>
            <w:r w:rsidDel="00000000" w:rsidR="00000000" w:rsidRPr="00000000">
              <w:rPr>
                <w:b w:val="1"/>
                <w:bCs w:val="1"/>
                <w:rtl w:val="0"/>
              </w:rPr>
              <w:t xml:space="preserve">6 meses</w:t>
            </w:r>
            <w:r w:rsidDel="00000000" w:rsidR="00000000" w:rsidRPr="00000000">
              <w:rPr>
                <w:rtl w:val="0"/>
              </w:rPr>
              <w:t xml:space="preserve"> desde la última dosis COVID-19</w:t>
            </w:r>
          </w:p>
        </w:tc>
        <w:tc>
          <w:tcPr>
            <w:vAlign w:val="center"/>
          </w:tcPr>
          <w:p w:rsidR="00000000" w:rsidDel="00000000" w:rsidP="00000000" w:rsidRDefault="00000000" w:rsidRPr="00000000" w14:paraId="00000279">
            <w:pPr>
              <w:widowControl w:val="1"/>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27A">
            <w:pPr>
              <w:widowControl w:val="1"/>
              <w:rPr/>
            </w:pPr>
            <w:r w:rsidDel="00000000" w:rsidR="00000000" w:rsidRPr="00000000">
              <w:rPr>
                <w:b w:val="1"/>
                <w:bCs w:val="1"/>
                <w:rtl w:val="0"/>
              </w:rPr>
              <w:t xml:space="preserve">Mayores de 60 años</w:t>
            </w:r>
            <w:r w:rsidDel="00000000" w:rsidR="00000000" w:rsidRPr="00000000">
              <w:rPr>
                <w:rtl w:val="0"/>
              </w:rPr>
            </w:r>
          </w:p>
        </w:tc>
        <w:tc>
          <w:tcPr>
            <w:vAlign w:val="center"/>
          </w:tcPr>
          <w:p w:rsidR="00000000" w:rsidDel="00000000" w:rsidP="00000000" w:rsidRDefault="00000000" w:rsidRPr="00000000" w14:paraId="0000027B">
            <w:pPr>
              <w:widowControl w:val="1"/>
              <w:rPr/>
            </w:pPr>
            <w:r w:rsidDel="00000000" w:rsidR="00000000" w:rsidRPr="00000000">
              <w:rPr>
                <w:rtl w:val="0"/>
              </w:rPr>
              <w:t xml:space="preserve">Dosis única (0,3 ml)</w:t>
            </w:r>
          </w:p>
        </w:tc>
        <w:tc>
          <w:tcPr>
            <w:vAlign w:val="center"/>
          </w:tcPr>
          <w:p w:rsidR="00000000" w:rsidDel="00000000" w:rsidP="00000000" w:rsidRDefault="00000000" w:rsidRPr="00000000" w14:paraId="0000027C">
            <w:pPr>
              <w:widowControl w:val="1"/>
              <w:rPr/>
            </w:pPr>
            <w:r w:rsidDel="00000000" w:rsidR="00000000" w:rsidRPr="00000000">
              <w:rPr>
                <w:rtl w:val="0"/>
              </w:rPr>
              <w:t xml:space="preserve">Como refuerzo (dosis adicional)</w:t>
            </w:r>
          </w:p>
        </w:tc>
        <w:tc>
          <w:tcPr>
            <w:vAlign w:val="center"/>
          </w:tcPr>
          <w:p w:rsidR="00000000" w:rsidDel="00000000" w:rsidP="00000000" w:rsidRDefault="00000000" w:rsidRPr="00000000" w14:paraId="0000027D">
            <w:pPr>
              <w:widowControl w:val="1"/>
              <w:rPr/>
            </w:pPr>
            <w:r w:rsidDel="00000000" w:rsidR="00000000" w:rsidRPr="00000000">
              <w:rPr>
                <w:rtl w:val="0"/>
              </w:rPr>
              <w:t xml:space="preserve">Mínimo </w:t>
            </w:r>
            <w:r w:rsidDel="00000000" w:rsidR="00000000" w:rsidRPr="00000000">
              <w:rPr>
                <w:b w:val="1"/>
                <w:bCs w:val="1"/>
                <w:rtl w:val="0"/>
              </w:rPr>
              <w:t xml:space="preserve">6 meses</w:t>
            </w:r>
            <w:r w:rsidDel="00000000" w:rsidR="00000000" w:rsidRPr="00000000">
              <w:rPr>
                <w:rtl w:val="0"/>
              </w:rPr>
              <w:t xml:space="preserve"> desde la última dosis</w:t>
            </w:r>
          </w:p>
        </w:tc>
      </w:tr>
    </w:tbl>
    <w:p w:rsidR="00000000" w:rsidDel="00000000" w:rsidP="00000000" w:rsidRDefault="00000000" w:rsidRPr="00000000" w14:paraId="0000027E">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F">
      <w:pPr>
        <w:widowControl w:val="1"/>
        <w:spacing w:after="280" w:before="280" w:lineRule="auto"/>
        <w:rPr>
          <w:rFonts w:ascii="Arial" w:cs="Arial" w:eastAsia="Arial" w:hAnsi="Arial"/>
          <w:b w:val="1"/>
          <w:bCs w:val="1"/>
        </w:rPr>
      </w:pPr>
      <w:r w:rsidDel="00000000" w:rsidR="00000000" w:rsidRPr="00000000">
        <w:rPr>
          <w:rFonts w:ascii="Arial" w:cs="Arial" w:eastAsia="Arial" w:hAnsi="Arial"/>
          <w:b w:val="1"/>
          <w:bCs w:val="1"/>
          <w:sz w:val="24"/>
          <w:szCs w:val="24"/>
          <w:rtl w:val="0"/>
        </w:rPr>
        <w:t xml:space="preserve">5.</w:t>
      </w:r>
      <w:r w:rsidDel="00000000" w:rsidR="00000000" w:rsidRPr="00000000">
        <w:rPr>
          <w:rFonts w:ascii="Arial" w:cs="Arial" w:eastAsia="Arial" w:hAnsi="Arial"/>
          <w:b w:val="1"/>
          <w:bCs w:val="1"/>
          <w:rtl w:val="0"/>
        </w:rPr>
        <w:t xml:space="preserve"> GRUPOS PRIORITARIOS POR EDAD</w:t>
      </w:r>
    </w:p>
    <w:p w:rsidR="00000000" w:rsidDel="00000000" w:rsidP="00000000" w:rsidRDefault="00000000" w:rsidRPr="00000000" w14:paraId="00000280">
      <w:pPr>
        <w:widowControl w:val="1"/>
        <w:spacing w:after="280" w:before="280" w:lineRule="auto"/>
        <w:rPr>
          <w:rFonts w:ascii="Arial" w:cs="Arial" w:eastAsia="Arial" w:hAnsi="Arial"/>
          <w:b w:val="1"/>
          <w:bCs w:val="1"/>
        </w:rPr>
      </w:pPr>
      <w:r w:rsidDel="00000000" w:rsidR="00000000" w:rsidRPr="00000000">
        <w:rPr>
          <w:rFonts w:ascii="Arial" w:cs="Arial" w:eastAsia="Arial" w:hAnsi="Arial"/>
          <w:b w:val="1"/>
          <w:bCs w:val="1"/>
          <w:rtl w:val="0"/>
        </w:rPr>
        <w:t xml:space="preserve">1. Gestantes (12 años en adelante)</w:t>
      </w:r>
    </w:p>
    <w:p w:rsidR="00000000" w:rsidDel="00000000" w:rsidP="00000000" w:rsidRDefault="00000000" w:rsidRPr="00000000" w14:paraId="00000281">
      <w:pPr>
        <w:widowControl w:val="1"/>
        <w:numPr>
          <w:ilvl w:val="0"/>
          <w:numId w:val="10"/>
        </w:numPr>
        <w:spacing w:after="0" w:before="280" w:lineRule="auto"/>
        <w:ind w:left="720" w:hanging="360"/>
        <w:rPr/>
      </w:pPr>
      <w:r w:rsidDel="00000000" w:rsidR="00000000" w:rsidRPr="00000000">
        <w:rPr>
          <w:rFonts w:ascii="Arial" w:cs="Arial" w:eastAsia="Arial" w:hAnsi="Arial"/>
          <w:b w:val="1"/>
          <w:bCs w:val="1"/>
          <w:rtl w:val="0"/>
        </w:rPr>
        <w:t xml:space="preserve">Prioridad principal.</w:t>
      </w:r>
      <w:r w:rsidDel="00000000" w:rsidR="00000000" w:rsidRPr="00000000">
        <w:rPr>
          <w:rtl w:val="0"/>
        </w:rPr>
      </w:r>
    </w:p>
    <w:p w:rsidR="00000000" w:rsidDel="00000000" w:rsidP="00000000" w:rsidRDefault="00000000" w:rsidRPr="00000000" w14:paraId="00000282">
      <w:pPr>
        <w:widowControl w:val="1"/>
        <w:numPr>
          <w:ilvl w:val="0"/>
          <w:numId w:val="10"/>
        </w:numPr>
        <w:spacing w:after="0" w:before="0" w:lineRule="auto"/>
        <w:ind w:left="720" w:hanging="360"/>
        <w:rPr/>
      </w:pPr>
      <w:r w:rsidDel="00000000" w:rsidR="00000000" w:rsidRPr="00000000">
        <w:rPr>
          <w:rFonts w:ascii="Arial" w:cs="Arial" w:eastAsia="Arial" w:hAnsi="Arial"/>
          <w:b w:val="1"/>
          <w:bCs w:val="1"/>
          <w:rtl w:val="0"/>
        </w:rPr>
        <w:t xml:space="preserve">Condición:</w:t>
      </w:r>
      <w:r w:rsidDel="00000000" w:rsidR="00000000" w:rsidRPr="00000000">
        <w:rPr>
          <w:rFonts w:ascii="Arial" w:cs="Arial" w:eastAsia="Arial" w:hAnsi="Arial"/>
          <w:rtl w:val="0"/>
        </w:rPr>
        <w:t xml:space="preserve"> Se debe aplicar </w:t>
      </w:r>
      <w:r w:rsidDel="00000000" w:rsidR="00000000" w:rsidRPr="00000000">
        <w:rPr>
          <w:rFonts w:ascii="Arial" w:cs="Arial" w:eastAsia="Arial" w:hAnsi="Arial"/>
          <w:b w:val="1"/>
          <w:bCs w:val="1"/>
          <w:rtl w:val="0"/>
        </w:rPr>
        <w:t xml:space="preserve">después de la semana 12 de gestación</w:t>
      </w:r>
      <w:r w:rsidDel="00000000" w:rsidR="00000000" w:rsidRPr="00000000">
        <w:rPr>
          <w:rFonts w:ascii="Arial" w:cs="Arial" w:eastAsia="Arial" w:hAnsi="Arial"/>
          <w:rtl w:val="0"/>
        </w:rPr>
        <w:t xml:space="preserve">.</w:t>
      </w:r>
    </w:p>
    <w:p w:rsidR="00000000" w:rsidDel="00000000" w:rsidP="00000000" w:rsidRDefault="00000000" w:rsidRPr="00000000" w14:paraId="00000283">
      <w:pPr>
        <w:widowControl w:val="1"/>
        <w:numPr>
          <w:ilvl w:val="0"/>
          <w:numId w:val="10"/>
        </w:numPr>
        <w:spacing w:after="0" w:before="0" w:lineRule="auto"/>
        <w:ind w:left="720" w:hanging="360"/>
        <w:rPr/>
      </w:pPr>
      <w:r w:rsidDel="00000000" w:rsidR="00000000" w:rsidRPr="00000000">
        <w:rPr>
          <w:rFonts w:ascii="Arial" w:cs="Arial" w:eastAsia="Arial" w:hAnsi="Arial"/>
          <w:b w:val="1"/>
          <w:bCs w:val="1"/>
          <w:rtl w:val="0"/>
        </w:rPr>
        <w:t xml:space="preserve">Esquema:</w:t>
      </w:r>
      <w:r w:rsidDel="00000000" w:rsidR="00000000" w:rsidRPr="00000000">
        <w:rPr>
          <w:rFonts w:ascii="Arial" w:cs="Arial" w:eastAsia="Arial" w:hAnsi="Arial"/>
          <w:rtl w:val="0"/>
        </w:rPr>
        <w:t xml:space="preserve"> Una única dosis de </w:t>
      </w:r>
      <w:r w:rsidDel="00000000" w:rsidR="00000000" w:rsidRPr="00000000">
        <w:rPr>
          <w:rFonts w:ascii="Arial" w:cs="Arial" w:eastAsia="Arial" w:hAnsi="Arial"/>
          <w:b w:val="1"/>
          <w:bCs w:val="1"/>
          <w:rtl w:val="0"/>
        </w:rPr>
        <w:t xml:space="preserve">0,3 ml intramuscular</w:t>
      </w:r>
      <w:r w:rsidDel="00000000" w:rsidR="00000000" w:rsidRPr="00000000">
        <w:rPr>
          <w:rFonts w:ascii="Arial" w:cs="Arial" w:eastAsia="Arial" w:hAnsi="Arial"/>
          <w:rtl w:val="0"/>
        </w:rPr>
        <w:t xml:space="preserve">.</w:t>
      </w:r>
    </w:p>
    <w:p w:rsidR="00000000" w:rsidDel="00000000" w:rsidP="00000000" w:rsidRDefault="00000000" w:rsidRPr="00000000" w14:paraId="00000284">
      <w:pPr>
        <w:widowControl w:val="1"/>
        <w:numPr>
          <w:ilvl w:val="0"/>
          <w:numId w:val="10"/>
        </w:numPr>
        <w:spacing w:after="0" w:before="0" w:lineRule="auto"/>
        <w:ind w:left="720" w:hanging="360"/>
        <w:rPr/>
      </w:pPr>
      <w:r w:rsidDel="00000000" w:rsidR="00000000" w:rsidRPr="00000000">
        <w:rPr>
          <w:rFonts w:ascii="Arial" w:cs="Arial" w:eastAsia="Arial" w:hAnsi="Arial"/>
          <w:b w:val="1"/>
          <w:bCs w:val="1"/>
          <w:rtl w:val="0"/>
        </w:rPr>
        <w:t xml:space="preserve">Intervalo mínimo:</w:t>
      </w:r>
      <w:r w:rsidDel="00000000" w:rsidR="00000000" w:rsidRPr="00000000">
        <w:rPr>
          <w:rFonts w:ascii="Arial" w:cs="Arial" w:eastAsia="Arial" w:hAnsi="Arial"/>
          <w:rtl w:val="0"/>
        </w:rPr>
        <w:t xml:space="preserve"> 6 meses después de última dosis COVID-19.</w:t>
      </w:r>
    </w:p>
    <w:p w:rsidR="00000000" w:rsidDel="00000000" w:rsidP="00000000" w:rsidRDefault="00000000" w:rsidRPr="00000000" w14:paraId="00000285">
      <w:pPr>
        <w:widowControl w:val="1"/>
        <w:numPr>
          <w:ilvl w:val="0"/>
          <w:numId w:val="10"/>
        </w:numPr>
        <w:spacing w:after="0" w:before="0" w:lineRule="auto"/>
        <w:ind w:left="720" w:hanging="360"/>
        <w:rPr/>
      </w:pPr>
      <w:r w:rsidDel="00000000" w:rsidR="00000000" w:rsidRPr="00000000">
        <w:rPr>
          <w:rFonts w:ascii="Arial" w:cs="Arial" w:eastAsia="Arial" w:hAnsi="Arial"/>
          <w:b w:val="1"/>
          <w:bCs w:val="1"/>
          <w:rtl w:val="0"/>
        </w:rPr>
        <w:t xml:space="preserve">Estrategia:</w:t>
      </w:r>
      <w:r w:rsidDel="00000000" w:rsidR="00000000" w:rsidRPr="00000000">
        <w:rPr>
          <w:rtl w:val="0"/>
        </w:rPr>
      </w:r>
    </w:p>
    <w:p w:rsidR="00000000" w:rsidDel="00000000" w:rsidP="00000000" w:rsidRDefault="00000000" w:rsidRPr="00000000" w14:paraId="00000286">
      <w:pPr>
        <w:widowControl w:val="1"/>
        <w:numPr>
          <w:ilvl w:val="1"/>
          <w:numId w:val="10"/>
        </w:numPr>
        <w:spacing w:after="0" w:before="0" w:lineRule="auto"/>
        <w:ind w:left="1440" w:hanging="360"/>
        <w:rPr/>
      </w:pPr>
      <w:r w:rsidDel="00000000" w:rsidR="00000000" w:rsidRPr="00000000">
        <w:rPr>
          <w:rFonts w:ascii="Arial" w:cs="Arial" w:eastAsia="Arial" w:hAnsi="Arial"/>
          <w:rtl w:val="0"/>
        </w:rPr>
        <w:t xml:space="preserve">Agendamiento en control prenatal.</w:t>
      </w:r>
    </w:p>
    <w:p w:rsidR="00000000" w:rsidDel="00000000" w:rsidP="00000000" w:rsidRDefault="00000000" w:rsidRPr="00000000" w14:paraId="00000287">
      <w:pPr>
        <w:widowControl w:val="1"/>
        <w:numPr>
          <w:ilvl w:val="1"/>
          <w:numId w:val="10"/>
        </w:numPr>
        <w:spacing w:after="0" w:before="0" w:lineRule="auto"/>
        <w:ind w:left="1440" w:hanging="360"/>
        <w:rPr/>
      </w:pPr>
      <w:r w:rsidDel="00000000" w:rsidR="00000000" w:rsidRPr="00000000">
        <w:rPr>
          <w:rFonts w:ascii="Arial" w:cs="Arial" w:eastAsia="Arial" w:hAnsi="Arial"/>
          <w:rtl w:val="0"/>
        </w:rPr>
        <w:t xml:space="preserve">Vacunación en IPS, hospitales y puntos materno-infantiles.</w:t>
      </w:r>
    </w:p>
    <w:p w:rsidR="00000000" w:rsidDel="00000000" w:rsidP="00000000" w:rsidRDefault="00000000" w:rsidRPr="00000000" w14:paraId="00000288">
      <w:pPr>
        <w:widowControl w:val="1"/>
        <w:numPr>
          <w:ilvl w:val="1"/>
          <w:numId w:val="10"/>
        </w:numPr>
        <w:spacing w:after="280" w:before="0" w:lineRule="auto"/>
        <w:ind w:left="1440" w:hanging="360"/>
        <w:rPr/>
      </w:pPr>
      <w:r w:rsidDel="00000000" w:rsidR="00000000" w:rsidRPr="00000000">
        <w:rPr>
          <w:rFonts w:ascii="Arial" w:cs="Arial" w:eastAsia="Arial" w:hAnsi="Arial"/>
          <w:rtl w:val="0"/>
        </w:rPr>
        <w:t xml:space="preserve">Coordinación con ginecobstetras para referenciación directa.</w:t>
      </w:r>
    </w:p>
    <w:p w:rsidR="00000000" w:rsidDel="00000000" w:rsidP="00000000" w:rsidRDefault="00000000" w:rsidRPr="00000000" w14:paraId="00000289">
      <w:pPr>
        <w:widowControl w:val="1"/>
        <w:spacing w:after="280" w:before="280" w:lineRule="auto"/>
        <w:rPr>
          <w:rFonts w:ascii="Arial" w:cs="Arial" w:eastAsia="Arial" w:hAnsi="Arial"/>
        </w:rPr>
      </w:pPr>
      <w:r w:rsidDel="00000000" w:rsidR="00000000" w:rsidRPr="00000000">
        <w:rPr>
          <w:rtl w:val="0"/>
        </w:rPr>
      </w:r>
    </w:p>
    <w:p w:rsidR="00000000" w:rsidDel="00000000" w:rsidP="00000000" w:rsidRDefault="00000000" w:rsidRPr="00000000" w14:paraId="0000028A">
      <w:pPr>
        <w:widowControl w:val="1"/>
        <w:spacing w:after="280" w:before="280" w:lineRule="auto"/>
        <w:rPr>
          <w:rFonts w:ascii="Arial" w:cs="Arial" w:eastAsia="Arial" w:hAnsi="Arial"/>
        </w:rPr>
      </w:pPr>
      <w:r w:rsidDel="00000000" w:rsidR="00000000" w:rsidRPr="00000000">
        <w:rPr>
          <w:rtl w:val="0"/>
        </w:rPr>
      </w:r>
    </w:p>
    <w:p w:rsidR="00000000" w:rsidDel="00000000" w:rsidP="00000000" w:rsidRDefault="00000000" w:rsidRPr="00000000" w14:paraId="0000028B">
      <w:pPr>
        <w:widowControl w:val="1"/>
        <w:spacing w:after="280" w:before="280" w:lineRule="auto"/>
        <w:rPr>
          <w:rFonts w:ascii="Arial" w:cs="Arial" w:eastAsia="Arial" w:hAnsi="Arial"/>
        </w:rPr>
      </w:pPr>
      <w:bookmarkStart w:colFirst="0" w:colLast="0" w:name="_5k1asj692vmx" w:id="4"/>
      <w:bookmarkEnd w:id="4"/>
      <w:r w:rsidDel="00000000" w:rsidR="00000000" w:rsidRPr="00000000">
        <w:rPr>
          <w:rtl w:val="0"/>
        </w:rPr>
      </w:r>
    </w:p>
    <w:p w:rsidR="00000000" w:rsidDel="00000000" w:rsidP="00000000" w:rsidRDefault="00000000" w:rsidRPr="00000000" w14:paraId="0000028C">
      <w:pPr>
        <w:widowControl w:val="1"/>
        <w:rPr>
          <w:rFonts w:ascii="Arial" w:cs="Arial" w:eastAsia="Arial" w:hAnsi="Arial"/>
        </w:rPr>
      </w:pPr>
      <w:r w:rsidDel="00000000" w:rsidR="00000000" w:rsidRPr="00000000">
        <w:rPr>
          <w:rtl w:val="0"/>
        </w:rPr>
      </w:r>
    </w:p>
    <w:p w:rsidR="00000000" w:rsidDel="00000000" w:rsidP="00000000" w:rsidRDefault="00000000" w:rsidRPr="00000000" w14:paraId="0000028D">
      <w:pPr>
        <w:widowControl w:val="1"/>
        <w:spacing w:after="280" w:before="280" w:lineRule="auto"/>
        <w:rPr>
          <w:rFonts w:ascii="Arial" w:cs="Arial" w:eastAsia="Arial" w:hAnsi="Arial"/>
          <w:b w:val="1"/>
          <w:bCs w:val="1"/>
        </w:rPr>
      </w:pPr>
      <w:r w:rsidDel="00000000" w:rsidR="00000000" w:rsidRPr="00000000">
        <w:rPr>
          <w:rFonts w:ascii="Arial" w:cs="Arial" w:eastAsia="Arial" w:hAnsi="Arial"/>
          <w:b w:val="1"/>
          <w:bCs w:val="1"/>
          <w:rtl w:val="0"/>
        </w:rPr>
        <w:t xml:space="preserve">2. Personas de 60 años o más</w:t>
      </w:r>
    </w:p>
    <w:p w:rsidR="00000000" w:rsidDel="00000000" w:rsidP="00000000" w:rsidRDefault="00000000" w:rsidRPr="00000000" w14:paraId="0000028E">
      <w:pPr>
        <w:widowControl w:val="1"/>
        <w:numPr>
          <w:ilvl w:val="0"/>
          <w:numId w:val="11"/>
        </w:numPr>
        <w:spacing w:after="0" w:before="280" w:lineRule="auto"/>
        <w:ind w:left="720" w:hanging="360"/>
        <w:rPr/>
      </w:pPr>
      <w:r w:rsidDel="00000000" w:rsidR="00000000" w:rsidRPr="00000000">
        <w:rPr>
          <w:rFonts w:ascii="Arial" w:cs="Arial" w:eastAsia="Arial" w:hAnsi="Arial"/>
          <w:b w:val="1"/>
          <w:bCs w:val="1"/>
          <w:rtl w:val="0"/>
        </w:rPr>
        <w:t xml:space="preserve">Condición:</w:t>
      </w:r>
      <w:r w:rsidDel="00000000" w:rsidR="00000000" w:rsidRPr="00000000">
        <w:rPr>
          <w:rFonts w:ascii="Arial" w:cs="Arial" w:eastAsia="Arial" w:hAnsi="Arial"/>
          <w:rtl w:val="0"/>
        </w:rPr>
        <w:t xml:space="preserve"> Pueden recibir una </w:t>
      </w:r>
      <w:r w:rsidDel="00000000" w:rsidR="00000000" w:rsidRPr="00000000">
        <w:rPr>
          <w:rFonts w:ascii="Arial" w:cs="Arial" w:eastAsia="Arial" w:hAnsi="Arial"/>
          <w:b w:val="1"/>
          <w:bCs w:val="1"/>
          <w:rtl w:val="0"/>
        </w:rPr>
        <w:t xml:space="preserve">dosis adicional</w:t>
      </w:r>
      <w:r w:rsidDel="00000000" w:rsidR="00000000" w:rsidRPr="00000000">
        <w:rPr>
          <w:rFonts w:ascii="Arial" w:cs="Arial" w:eastAsia="Arial" w:hAnsi="Arial"/>
          <w:rtl w:val="0"/>
        </w:rPr>
        <w:t xml:space="preserve"> si han pasado </w:t>
      </w:r>
      <w:r w:rsidDel="00000000" w:rsidR="00000000" w:rsidRPr="00000000">
        <w:rPr>
          <w:rFonts w:ascii="Arial" w:cs="Arial" w:eastAsia="Arial" w:hAnsi="Arial"/>
          <w:b w:val="1"/>
          <w:bCs w:val="1"/>
          <w:rtl w:val="0"/>
        </w:rPr>
        <w:t xml:space="preserve">6 meses</w:t>
      </w:r>
      <w:r w:rsidDel="00000000" w:rsidR="00000000" w:rsidRPr="00000000">
        <w:rPr>
          <w:rFonts w:ascii="Arial" w:cs="Arial" w:eastAsia="Arial" w:hAnsi="Arial"/>
          <w:rtl w:val="0"/>
        </w:rPr>
        <w:t xml:space="preserve"> desde la última aplicación.</w:t>
      </w:r>
    </w:p>
    <w:p w:rsidR="00000000" w:rsidDel="00000000" w:rsidP="00000000" w:rsidRDefault="00000000" w:rsidRPr="00000000" w14:paraId="0000028F">
      <w:pPr>
        <w:widowControl w:val="1"/>
        <w:numPr>
          <w:ilvl w:val="0"/>
          <w:numId w:val="11"/>
        </w:numPr>
        <w:spacing w:after="0" w:before="0" w:lineRule="auto"/>
        <w:ind w:left="720" w:hanging="360"/>
        <w:rPr/>
      </w:pPr>
      <w:r w:rsidDel="00000000" w:rsidR="00000000" w:rsidRPr="00000000">
        <w:rPr>
          <w:rFonts w:ascii="Arial" w:cs="Arial" w:eastAsia="Arial" w:hAnsi="Arial"/>
          <w:b w:val="1"/>
          <w:bCs w:val="1"/>
          <w:rtl w:val="0"/>
        </w:rPr>
        <w:t xml:space="preserve">Esquema:</w:t>
      </w:r>
      <w:r w:rsidDel="00000000" w:rsidR="00000000" w:rsidRPr="00000000">
        <w:rPr>
          <w:rFonts w:ascii="Arial" w:cs="Arial" w:eastAsia="Arial" w:hAnsi="Arial"/>
          <w:rtl w:val="0"/>
        </w:rPr>
        <w:t xml:space="preserve"> Dosis única de </w:t>
      </w:r>
      <w:r w:rsidDel="00000000" w:rsidR="00000000" w:rsidRPr="00000000">
        <w:rPr>
          <w:rFonts w:ascii="Arial" w:cs="Arial" w:eastAsia="Arial" w:hAnsi="Arial"/>
          <w:b w:val="1"/>
          <w:bCs w:val="1"/>
          <w:rtl w:val="0"/>
        </w:rPr>
        <w:t xml:space="preserve">0,3 ml</w:t>
      </w:r>
      <w:r w:rsidDel="00000000" w:rsidR="00000000" w:rsidRPr="00000000">
        <w:rPr>
          <w:rFonts w:ascii="Arial" w:cs="Arial" w:eastAsia="Arial" w:hAnsi="Arial"/>
          <w:rtl w:val="0"/>
        </w:rPr>
        <w:t xml:space="preserve">.</w:t>
      </w:r>
    </w:p>
    <w:p w:rsidR="00000000" w:rsidDel="00000000" w:rsidP="00000000" w:rsidRDefault="00000000" w:rsidRPr="00000000" w14:paraId="00000290">
      <w:pPr>
        <w:widowControl w:val="1"/>
        <w:numPr>
          <w:ilvl w:val="0"/>
          <w:numId w:val="11"/>
        </w:numPr>
        <w:spacing w:after="0" w:before="0" w:lineRule="auto"/>
        <w:ind w:left="720" w:hanging="360"/>
        <w:rPr/>
      </w:pPr>
      <w:r w:rsidDel="00000000" w:rsidR="00000000" w:rsidRPr="00000000">
        <w:rPr>
          <w:rFonts w:ascii="Arial" w:cs="Arial" w:eastAsia="Arial" w:hAnsi="Arial"/>
          <w:b w:val="1"/>
          <w:bCs w:val="1"/>
          <w:rtl w:val="0"/>
        </w:rPr>
        <w:t xml:space="preserve">Estrategia:</w:t>
      </w:r>
      <w:r w:rsidDel="00000000" w:rsidR="00000000" w:rsidRPr="00000000">
        <w:rPr>
          <w:rtl w:val="0"/>
        </w:rPr>
      </w:r>
    </w:p>
    <w:p w:rsidR="00000000" w:rsidDel="00000000" w:rsidP="00000000" w:rsidRDefault="00000000" w:rsidRPr="00000000" w14:paraId="00000291">
      <w:pPr>
        <w:widowControl w:val="1"/>
        <w:numPr>
          <w:ilvl w:val="1"/>
          <w:numId w:val="11"/>
        </w:numPr>
        <w:spacing w:after="0" w:before="0" w:lineRule="auto"/>
        <w:ind w:left="1440" w:hanging="360"/>
        <w:rPr/>
      </w:pPr>
      <w:r w:rsidDel="00000000" w:rsidR="00000000" w:rsidRPr="00000000">
        <w:rPr>
          <w:rFonts w:ascii="Arial" w:cs="Arial" w:eastAsia="Arial" w:hAnsi="Arial"/>
          <w:rtl w:val="0"/>
        </w:rPr>
        <w:t xml:space="preserve">Agendamiento o captación espontánea.</w:t>
      </w:r>
    </w:p>
    <w:p w:rsidR="00000000" w:rsidDel="00000000" w:rsidP="00000000" w:rsidRDefault="00000000" w:rsidRPr="00000000" w14:paraId="00000292">
      <w:pPr>
        <w:widowControl w:val="1"/>
        <w:numPr>
          <w:ilvl w:val="1"/>
          <w:numId w:val="11"/>
        </w:numPr>
        <w:spacing w:after="0" w:before="0" w:lineRule="auto"/>
        <w:ind w:left="1440" w:hanging="360"/>
        <w:rPr/>
      </w:pPr>
      <w:r w:rsidDel="00000000" w:rsidR="00000000" w:rsidRPr="00000000">
        <w:rPr>
          <w:rFonts w:ascii="Arial" w:cs="Arial" w:eastAsia="Arial" w:hAnsi="Arial"/>
          <w:rtl w:val="0"/>
        </w:rPr>
        <w:t xml:space="preserve">Vacunación domiciliaria para adultos mayores institucionalizados o con movilidad reducida.</w:t>
      </w:r>
    </w:p>
    <w:p w:rsidR="00000000" w:rsidDel="00000000" w:rsidP="00000000" w:rsidRDefault="00000000" w:rsidRPr="00000000" w14:paraId="00000293">
      <w:pPr>
        <w:widowControl w:val="1"/>
        <w:numPr>
          <w:ilvl w:val="1"/>
          <w:numId w:val="11"/>
        </w:numPr>
        <w:spacing w:after="280" w:before="0" w:lineRule="auto"/>
        <w:ind w:left="1440" w:hanging="360"/>
        <w:rPr/>
      </w:pPr>
      <w:r w:rsidDel="00000000" w:rsidR="00000000" w:rsidRPr="00000000">
        <w:rPr>
          <w:rFonts w:ascii="Arial" w:cs="Arial" w:eastAsia="Arial" w:hAnsi="Arial"/>
          <w:rtl w:val="0"/>
        </w:rPr>
        <w:t xml:space="preserve">Priorizar al abrir viales cuando no haya gestantes disponibles.</w:t>
      </w:r>
    </w:p>
    <w:p w:rsidR="00000000" w:rsidDel="00000000" w:rsidP="00000000" w:rsidRDefault="00000000" w:rsidRPr="00000000" w14:paraId="00000294">
      <w:pPr>
        <w:widowControl w:val="1"/>
        <w:spacing w:after="280" w:before="280" w:lineRule="auto"/>
        <w:rPr>
          <w:rFonts w:ascii="Arial" w:cs="Arial" w:eastAsia="Arial" w:hAnsi="Arial"/>
          <w:b w:val="1"/>
          <w:bCs w:val="1"/>
        </w:rPr>
      </w:pPr>
      <w:r w:rsidDel="00000000" w:rsidR="00000000" w:rsidRPr="00000000">
        <w:rPr>
          <w:rFonts w:ascii="Arial" w:cs="Arial" w:eastAsia="Arial" w:hAnsi="Arial"/>
          <w:b w:val="1"/>
          <w:bCs w:val="1"/>
          <w:rtl w:val="0"/>
        </w:rPr>
        <w:t xml:space="preserve">3. Talento Humano en Salud (12 años en adelante)</w:t>
      </w:r>
    </w:p>
    <w:p w:rsidR="00000000" w:rsidDel="00000000" w:rsidP="00000000" w:rsidRDefault="00000000" w:rsidRPr="00000000" w14:paraId="00000295">
      <w:pPr>
        <w:widowControl w:val="1"/>
        <w:numPr>
          <w:ilvl w:val="0"/>
          <w:numId w:val="12"/>
        </w:numPr>
        <w:spacing w:after="0" w:before="280" w:lineRule="auto"/>
        <w:ind w:left="720" w:hanging="360"/>
        <w:rPr/>
      </w:pPr>
      <w:r w:rsidDel="00000000" w:rsidR="00000000" w:rsidRPr="00000000">
        <w:rPr>
          <w:rFonts w:ascii="Arial" w:cs="Arial" w:eastAsia="Arial" w:hAnsi="Arial"/>
          <w:b w:val="1"/>
          <w:bCs w:val="1"/>
          <w:rtl w:val="0"/>
        </w:rPr>
        <w:t xml:space="preserve">Condición:</w:t>
      </w:r>
      <w:r w:rsidDel="00000000" w:rsidR="00000000" w:rsidRPr="00000000">
        <w:rPr>
          <w:rFonts w:ascii="Arial" w:cs="Arial" w:eastAsia="Arial" w:hAnsi="Arial"/>
          <w:rtl w:val="0"/>
        </w:rPr>
        <w:t xml:space="preserve"> Aplicar si han transcurrido </w:t>
      </w:r>
      <w:r w:rsidDel="00000000" w:rsidR="00000000" w:rsidRPr="00000000">
        <w:rPr>
          <w:rFonts w:ascii="Arial" w:cs="Arial" w:eastAsia="Arial" w:hAnsi="Arial"/>
          <w:b w:val="1"/>
          <w:bCs w:val="1"/>
          <w:rtl w:val="0"/>
        </w:rPr>
        <w:t xml:space="preserve">6 meses o más</w:t>
      </w:r>
      <w:r w:rsidDel="00000000" w:rsidR="00000000" w:rsidRPr="00000000">
        <w:rPr>
          <w:rFonts w:ascii="Arial" w:cs="Arial" w:eastAsia="Arial" w:hAnsi="Arial"/>
          <w:rtl w:val="0"/>
        </w:rPr>
        <w:t xml:space="preserve"> desde su última dosis.</w:t>
      </w:r>
    </w:p>
    <w:p w:rsidR="00000000" w:rsidDel="00000000" w:rsidP="00000000" w:rsidRDefault="00000000" w:rsidRPr="00000000" w14:paraId="00000296">
      <w:pPr>
        <w:widowControl w:val="1"/>
        <w:numPr>
          <w:ilvl w:val="0"/>
          <w:numId w:val="12"/>
        </w:numPr>
        <w:spacing w:after="0" w:before="0" w:lineRule="auto"/>
        <w:ind w:left="720" w:hanging="360"/>
        <w:rPr/>
      </w:pPr>
      <w:r w:rsidDel="00000000" w:rsidR="00000000" w:rsidRPr="00000000">
        <w:rPr>
          <w:rFonts w:ascii="Arial" w:cs="Arial" w:eastAsia="Arial" w:hAnsi="Arial"/>
          <w:b w:val="1"/>
          <w:bCs w:val="1"/>
          <w:rtl w:val="0"/>
        </w:rPr>
        <w:t xml:space="preserve">Esquema:</w:t>
      </w:r>
      <w:r w:rsidDel="00000000" w:rsidR="00000000" w:rsidRPr="00000000">
        <w:rPr>
          <w:rFonts w:ascii="Arial" w:cs="Arial" w:eastAsia="Arial" w:hAnsi="Arial"/>
          <w:rtl w:val="0"/>
        </w:rPr>
        <w:t xml:space="preserve"> Dosis única de </w:t>
      </w:r>
      <w:r w:rsidDel="00000000" w:rsidR="00000000" w:rsidRPr="00000000">
        <w:rPr>
          <w:rFonts w:ascii="Arial" w:cs="Arial" w:eastAsia="Arial" w:hAnsi="Arial"/>
          <w:b w:val="1"/>
          <w:bCs w:val="1"/>
          <w:rtl w:val="0"/>
        </w:rPr>
        <w:t xml:space="preserve">0,3 ml</w:t>
      </w:r>
      <w:r w:rsidDel="00000000" w:rsidR="00000000" w:rsidRPr="00000000">
        <w:rPr>
          <w:rFonts w:ascii="Arial" w:cs="Arial" w:eastAsia="Arial" w:hAnsi="Arial"/>
          <w:rtl w:val="0"/>
        </w:rPr>
        <w:t xml:space="preserve">.</w:t>
      </w:r>
    </w:p>
    <w:p w:rsidR="00000000" w:rsidDel="00000000" w:rsidP="00000000" w:rsidRDefault="00000000" w:rsidRPr="00000000" w14:paraId="00000297">
      <w:pPr>
        <w:widowControl w:val="1"/>
        <w:numPr>
          <w:ilvl w:val="0"/>
          <w:numId w:val="12"/>
        </w:numPr>
        <w:spacing w:after="0" w:before="0" w:lineRule="auto"/>
        <w:ind w:left="720" w:hanging="360"/>
        <w:rPr/>
      </w:pPr>
      <w:r w:rsidDel="00000000" w:rsidR="00000000" w:rsidRPr="00000000">
        <w:rPr>
          <w:rFonts w:ascii="Arial" w:cs="Arial" w:eastAsia="Arial" w:hAnsi="Arial"/>
          <w:b w:val="1"/>
          <w:bCs w:val="1"/>
          <w:rtl w:val="0"/>
        </w:rPr>
        <w:t xml:space="preserve">Estrategia:</w:t>
      </w:r>
      <w:r w:rsidDel="00000000" w:rsidR="00000000" w:rsidRPr="00000000">
        <w:rPr>
          <w:rtl w:val="0"/>
        </w:rPr>
      </w:r>
    </w:p>
    <w:p w:rsidR="00000000" w:rsidDel="00000000" w:rsidP="00000000" w:rsidRDefault="00000000" w:rsidRPr="00000000" w14:paraId="00000298">
      <w:pPr>
        <w:widowControl w:val="1"/>
        <w:numPr>
          <w:ilvl w:val="1"/>
          <w:numId w:val="12"/>
        </w:numPr>
        <w:spacing w:after="0" w:before="0" w:lineRule="auto"/>
        <w:ind w:left="1440" w:hanging="360"/>
        <w:rPr/>
      </w:pPr>
      <w:r w:rsidDel="00000000" w:rsidR="00000000" w:rsidRPr="00000000">
        <w:rPr>
          <w:rFonts w:ascii="Arial" w:cs="Arial" w:eastAsia="Arial" w:hAnsi="Arial"/>
          <w:rtl w:val="0"/>
        </w:rPr>
        <w:t xml:space="preserve">Jornadas intrainstitucionales en hospitales y clínicas.</w:t>
      </w:r>
    </w:p>
    <w:p w:rsidR="00000000" w:rsidDel="00000000" w:rsidP="00000000" w:rsidRDefault="00000000" w:rsidRPr="00000000" w14:paraId="00000299">
      <w:pPr>
        <w:widowControl w:val="1"/>
        <w:numPr>
          <w:ilvl w:val="1"/>
          <w:numId w:val="12"/>
        </w:numPr>
        <w:spacing w:after="0" w:before="0" w:lineRule="auto"/>
        <w:ind w:left="1440" w:hanging="360"/>
        <w:rPr/>
      </w:pPr>
      <w:r w:rsidDel="00000000" w:rsidR="00000000" w:rsidRPr="00000000">
        <w:rPr>
          <w:rFonts w:ascii="Arial" w:cs="Arial" w:eastAsia="Arial" w:hAnsi="Arial"/>
          <w:rtl w:val="0"/>
        </w:rPr>
        <w:t xml:space="preserve">Incentivar la autogestión del refuerzo.</w:t>
      </w:r>
    </w:p>
    <w:p w:rsidR="00000000" w:rsidDel="00000000" w:rsidP="00000000" w:rsidRDefault="00000000" w:rsidRPr="00000000" w14:paraId="0000029A">
      <w:pPr>
        <w:widowControl w:val="1"/>
        <w:numPr>
          <w:ilvl w:val="1"/>
          <w:numId w:val="12"/>
        </w:numPr>
        <w:spacing w:after="280" w:before="0" w:lineRule="auto"/>
        <w:ind w:left="1440" w:hanging="360"/>
        <w:rPr/>
      </w:pPr>
      <w:r w:rsidDel="00000000" w:rsidR="00000000" w:rsidRPr="00000000">
        <w:rPr>
          <w:rFonts w:ascii="Arial" w:cs="Arial" w:eastAsia="Arial" w:hAnsi="Arial"/>
          <w:rtl w:val="0"/>
        </w:rPr>
        <w:t xml:space="preserve">Agendar en horarios laborales para garantizar cobertura.</w:t>
      </w:r>
    </w:p>
    <w:p w:rsidR="00000000" w:rsidDel="00000000" w:rsidP="00000000" w:rsidRDefault="00000000" w:rsidRPr="00000000" w14:paraId="0000029B">
      <w:pPr>
        <w:widowControl w:val="1"/>
        <w:rPr>
          <w:rFonts w:ascii="Arial" w:cs="Arial" w:eastAsia="Arial" w:hAnsi="Arial"/>
        </w:rPr>
      </w:pPr>
      <w:r w:rsidDel="00000000" w:rsidR="00000000" w:rsidRPr="00000000">
        <w:rPr>
          <w:rtl w:val="0"/>
        </w:rPr>
      </w:r>
    </w:p>
    <w:p w:rsidR="00000000" w:rsidDel="00000000" w:rsidP="00000000" w:rsidRDefault="00000000" w:rsidRPr="00000000" w14:paraId="0000029C">
      <w:pPr>
        <w:widowControl w:val="1"/>
        <w:spacing w:after="280" w:before="280" w:lineRule="auto"/>
        <w:rPr>
          <w:rFonts w:ascii="Arial" w:cs="Arial" w:eastAsia="Arial" w:hAnsi="Arial"/>
          <w:b w:val="1"/>
          <w:bCs w:val="1"/>
        </w:rPr>
      </w:pPr>
      <w:r w:rsidDel="00000000" w:rsidR="00000000" w:rsidRPr="00000000">
        <w:rPr>
          <w:rFonts w:ascii="Arial" w:cs="Arial" w:eastAsia="Arial" w:hAnsi="Arial"/>
          <w:b w:val="1"/>
          <w:bCs w:val="1"/>
          <w:rtl w:val="0"/>
        </w:rPr>
        <w:t xml:space="preserve">4. Personas mayores de 12 años con comorbilidades</w:t>
      </w:r>
    </w:p>
    <w:p w:rsidR="00000000" w:rsidDel="00000000" w:rsidP="00000000" w:rsidRDefault="00000000" w:rsidRPr="00000000" w14:paraId="0000029D">
      <w:pPr>
        <w:widowControl w:val="1"/>
        <w:numPr>
          <w:ilvl w:val="0"/>
          <w:numId w:val="13"/>
        </w:numPr>
        <w:spacing w:after="0" w:before="280" w:lineRule="auto"/>
        <w:ind w:left="720" w:hanging="360"/>
        <w:rPr/>
      </w:pPr>
      <w:r w:rsidDel="00000000" w:rsidR="00000000" w:rsidRPr="00000000">
        <w:rPr>
          <w:rFonts w:ascii="Arial" w:cs="Arial" w:eastAsia="Arial" w:hAnsi="Arial"/>
          <w:b w:val="1"/>
          <w:bCs w:val="1"/>
          <w:rtl w:val="0"/>
        </w:rPr>
        <w:t xml:space="preserve">Condición:</w:t>
      </w:r>
      <w:r w:rsidDel="00000000" w:rsidR="00000000" w:rsidRPr="00000000">
        <w:rPr>
          <w:rFonts w:ascii="Arial" w:cs="Arial" w:eastAsia="Arial" w:hAnsi="Arial"/>
          <w:rtl w:val="0"/>
        </w:rPr>
        <w:t xml:space="preserve"> Aplicar si han pasado </w:t>
      </w:r>
      <w:r w:rsidDel="00000000" w:rsidR="00000000" w:rsidRPr="00000000">
        <w:rPr>
          <w:rFonts w:ascii="Arial" w:cs="Arial" w:eastAsia="Arial" w:hAnsi="Arial"/>
          <w:b w:val="1"/>
          <w:bCs w:val="1"/>
          <w:rtl w:val="0"/>
        </w:rPr>
        <w:t xml:space="preserve">al menos 6 meses desde la última dosis</w:t>
      </w:r>
      <w:r w:rsidDel="00000000" w:rsidR="00000000" w:rsidRPr="00000000">
        <w:rPr>
          <w:rFonts w:ascii="Arial" w:cs="Arial" w:eastAsia="Arial" w:hAnsi="Arial"/>
          <w:rtl w:val="0"/>
        </w:rPr>
        <w:t xml:space="preserve">.</w:t>
      </w:r>
    </w:p>
    <w:p w:rsidR="00000000" w:rsidDel="00000000" w:rsidP="00000000" w:rsidRDefault="00000000" w:rsidRPr="00000000" w14:paraId="0000029E">
      <w:pPr>
        <w:widowControl w:val="1"/>
        <w:numPr>
          <w:ilvl w:val="0"/>
          <w:numId w:val="13"/>
        </w:numPr>
        <w:spacing w:after="0" w:before="0" w:lineRule="auto"/>
        <w:ind w:left="720" w:hanging="360"/>
        <w:rPr/>
      </w:pPr>
      <w:r w:rsidDel="00000000" w:rsidR="00000000" w:rsidRPr="00000000">
        <w:rPr>
          <w:rFonts w:ascii="Arial" w:cs="Arial" w:eastAsia="Arial" w:hAnsi="Arial"/>
          <w:b w:val="1"/>
          <w:bCs w:val="1"/>
          <w:rtl w:val="0"/>
        </w:rPr>
        <w:t xml:space="preserve">Esquema:</w:t>
      </w:r>
      <w:r w:rsidDel="00000000" w:rsidR="00000000" w:rsidRPr="00000000">
        <w:rPr>
          <w:rFonts w:ascii="Arial" w:cs="Arial" w:eastAsia="Arial" w:hAnsi="Arial"/>
          <w:rtl w:val="0"/>
        </w:rPr>
        <w:t xml:space="preserve"> Dosis única de </w:t>
      </w:r>
      <w:r w:rsidDel="00000000" w:rsidR="00000000" w:rsidRPr="00000000">
        <w:rPr>
          <w:rFonts w:ascii="Arial" w:cs="Arial" w:eastAsia="Arial" w:hAnsi="Arial"/>
          <w:b w:val="1"/>
          <w:bCs w:val="1"/>
          <w:rtl w:val="0"/>
        </w:rPr>
        <w:t xml:space="preserve">0,3 ml</w:t>
      </w:r>
      <w:r w:rsidDel="00000000" w:rsidR="00000000" w:rsidRPr="00000000">
        <w:rPr>
          <w:rFonts w:ascii="Arial" w:cs="Arial" w:eastAsia="Arial" w:hAnsi="Arial"/>
          <w:rtl w:val="0"/>
        </w:rPr>
        <w:t xml:space="preserve">.</w:t>
      </w:r>
    </w:p>
    <w:p w:rsidR="00000000" w:rsidDel="00000000" w:rsidP="00000000" w:rsidRDefault="00000000" w:rsidRPr="00000000" w14:paraId="0000029F">
      <w:pPr>
        <w:widowControl w:val="1"/>
        <w:numPr>
          <w:ilvl w:val="0"/>
          <w:numId w:val="13"/>
        </w:numPr>
        <w:spacing w:after="0" w:before="0" w:lineRule="auto"/>
        <w:ind w:left="720" w:hanging="360"/>
        <w:rPr/>
      </w:pPr>
      <w:r w:rsidDel="00000000" w:rsidR="00000000" w:rsidRPr="00000000">
        <w:rPr>
          <w:rFonts w:ascii="Arial" w:cs="Arial" w:eastAsia="Arial" w:hAnsi="Arial"/>
          <w:b w:val="1"/>
          <w:bCs w:val="1"/>
          <w:rtl w:val="0"/>
        </w:rPr>
        <w:t xml:space="preserve">Estrategia:</w:t>
      </w:r>
      <w:r w:rsidDel="00000000" w:rsidR="00000000" w:rsidRPr="00000000">
        <w:rPr>
          <w:rtl w:val="0"/>
        </w:rPr>
      </w:r>
    </w:p>
    <w:p w:rsidR="00000000" w:rsidDel="00000000" w:rsidP="00000000" w:rsidRDefault="00000000" w:rsidRPr="00000000" w14:paraId="000002A0">
      <w:pPr>
        <w:widowControl w:val="1"/>
        <w:numPr>
          <w:ilvl w:val="1"/>
          <w:numId w:val="13"/>
        </w:numPr>
        <w:spacing w:after="0" w:before="0" w:lineRule="auto"/>
        <w:ind w:left="1440" w:hanging="360"/>
        <w:rPr/>
      </w:pPr>
      <w:r w:rsidDel="00000000" w:rsidR="00000000" w:rsidRPr="00000000">
        <w:rPr>
          <w:rFonts w:ascii="Arial" w:cs="Arial" w:eastAsia="Arial" w:hAnsi="Arial"/>
          <w:rtl w:val="0"/>
        </w:rPr>
        <w:t xml:space="preserve">Identificación en consulta externa, programas de crónicos y servicios especializados.</w:t>
      </w:r>
    </w:p>
    <w:p w:rsidR="00000000" w:rsidDel="00000000" w:rsidP="00000000" w:rsidRDefault="00000000" w:rsidRPr="00000000" w14:paraId="000002A1">
      <w:pPr>
        <w:widowControl w:val="1"/>
        <w:numPr>
          <w:ilvl w:val="1"/>
          <w:numId w:val="13"/>
        </w:numPr>
        <w:spacing w:after="0" w:before="0" w:lineRule="auto"/>
        <w:ind w:left="1440" w:hanging="360"/>
        <w:rPr/>
      </w:pPr>
      <w:r w:rsidDel="00000000" w:rsidR="00000000" w:rsidRPr="00000000">
        <w:rPr>
          <w:rFonts w:ascii="Arial" w:cs="Arial" w:eastAsia="Arial" w:hAnsi="Arial"/>
          <w:rtl w:val="0"/>
        </w:rPr>
        <w:t xml:space="preserve">Inclusión en jornadas comunitarias.</w:t>
      </w:r>
    </w:p>
    <w:p w:rsidR="00000000" w:rsidDel="00000000" w:rsidP="00000000" w:rsidRDefault="00000000" w:rsidRPr="00000000" w14:paraId="000002A2">
      <w:pPr>
        <w:widowControl w:val="1"/>
        <w:numPr>
          <w:ilvl w:val="1"/>
          <w:numId w:val="13"/>
        </w:numPr>
        <w:spacing w:after="280" w:before="0" w:lineRule="auto"/>
        <w:ind w:left="1440" w:hanging="360"/>
        <w:rPr/>
      </w:pPr>
      <w:r w:rsidDel="00000000" w:rsidR="00000000" w:rsidRPr="00000000">
        <w:rPr>
          <w:rFonts w:ascii="Arial" w:cs="Arial" w:eastAsia="Arial" w:hAnsi="Arial"/>
          <w:rtl w:val="0"/>
        </w:rPr>
        <w:t xml:space="preserve">Apoyo de EPS para agendamiento y contacto activo.</w:t>
      </w:r>
    </w:p>
    <w:p w:rsidR="00000000" w:rsidDel="00000000" w:rsidP="00000000" w:rsidRDefault="00000000" w:rsidRPr="00000000" w14:paraId="000002A3">
      <w:pPr>
        <w:widowControl w:val="1"/>
        <w:rPr>
          <w:rFonts w:ascii="Arial" w:cs="Arial" w:eastAsia="Arial" w:hAnsi="Arial"/>
        </w:rPr>
      </w:pPr>
      <w:r w:rsidDel="00000000" w:rsidR="00000000" w:rsidRPr="00000000">
        <w:rPr>
          <w:rtl w:val="0"/>
        </w:rPr>
      </w:r>
    </w:p>
    <w:p w:rsidR="00000000" w:rsidDel="00000000" w:rsidP="00000000" w:rsidRDefault="00000000" w:rsidRPr="00000000" w14:paraId="000002A4">
      <w:pPr>
        <w:widowControl w:val="1"/>
        <w:spacing w:after="280" w:before="280" w:lineRule="auto"/>
        <w:rPr>
          <w:rFonts w:ascii="Arial" w:cs="Arial" w:eastAsia="Arial" w:hAnsi="Arial"/>
          <w:b w:val="1"/>
          <w:bCs w:val="1"/>
        </w:rPr>
      </w:pPr>
      <w:r w:rsidDel="00000000" w:rsidR="00000000" w:rsidRPr="00000000">
        <w:rPr>
          <w:rFonts w:ascii="Arial" w:cs="Arial" w:eastAsia="Arial" w:hAnsi="Arial"/>
          <w:b w:val="1"/>
          <w:bCs w:val="1"/>
          <w:rtl w:val="0"/>
        </w:rPr>
        <w:t xml:space="preserve">5. Personas mayores de 12 años que soliciten voluntariamente la vacuna</w:t>
      </w:r>
    </w:p>
    <w:p w:rsidR="00000000" w:rsidDel="00000000" w:rsidP="00000000" w:rsidRDefault="00000000" w:rsidRPr="00000000" w14:paraId="000002A5">
      <w:pPr>
        <w:widowControl w:val="1"/>
        <w:numPr>
          <w:ilvl w:val="0"/>
          <w:numId w:val="14"/>
        </w:numPr>
        <w:spacing w:after="0" w:before="280" w:lineRule="auto"/>
        <w:ind w:left="720" w:hanging="360"/>
        <w:rPr/>
      </w:pPr>
      <w:r w:rsidDel="00000000" w:rsidR="00000000" w:rsidRPr="00000000">
        <w:rPr>
          <w:rFonts w:ascii="Arial" w:cs="Arial" w:eastAsia="Arial" w:hAnsi="Arial"/>
          <w:b w:val="1"/>
          <w:bCs w:val="1"/>
          <w:rtl w:val="0"/>
        </w:rPr>
        <w:t xml:space="preserve">Condición:</w:t>
      </w:r>
      <w:r w:rsidDel="00000000" w:rsidR="00000000" w:rsidRPr="00000000">
        <w:rPr>
          <w:rFonts w:ascii="Arial" w:cs="Arial" w:eastAsia="Arial" w:hAnsi="Arial"/>
          <w:rtl w:val="0"/>
        </w:rPr>
        <w:t xml:space="preserve"> Aplicar solo si han pasado </w:t>
      </w:r>
      <w:r w:rsidDel="00000000" w:rsidR="00000000" w:rsidRPr="00000000">
        <w:rPr>
          <w:rFonts w:ascii="Arial" w:cs="Arial" w:eastAsia="Arial" w:hAnsi="Arial"/>
          <w:b w:val="1"/>
          <w:bCs w:val="1"/>
          <w:rtl w:val="0"/>
        </w:rPr>
        <w:t xml:space="preserve">mínimo 6 meses desde última dosis</w:t>
      </w:r>
      <w:r w:rsidDel="00000000" w:rsidR="00000000" w:rsidRPr="00000000">
        <w:rPr>
          <w:rFonts w:ascii="Arial" w:cs="Arial" w:eastAsia="Arial" w:hAnsi="Arial"/>
          <w:rtl w:val="0"/>
        </w:rPr>
        <w:t xml:space="preserve">.</w:t>
      </w:r>
    </w:p>
    <w:p w:rsidR="00000000" w:rsidDel="00000000" w:rsidP="00000000" w:rsidRDefault="00000000" w:rsidRPr="00000000" w14:paraId="000002A6">
      <w:pPr>
        <w:widowControl w:val="1"/>
        <w:numPr>
          <w:ilvl w:val="0"/>
          <w:numId w:val="14"/>
        </w:numPr>
        <w:spacing w:after="0" w:before="0" w:lineRule="auto"/>
        <w:ind w:left="720" w:hanging="360"/>
        <w:rPr/>
      </w:pPr>
      <w:r w:rsidDel="00000000" w:rsidR="00000000" w:rsidRPr="00000000">
        <w:rPr>
          <w:rFonts w:ascii="Arial" w:cs="Arial" w:eastAsia="Arial" w:hAnsi="Arial"/>
          <w:b w:val="1"/>
          <w:bCs w:val="1"/>
          <w:rtl w:val="0"/>
        </w:rPr>
        <w:t xml:space="preserve">Esquema:</w:t>
      </w:r>
      <w:r w:rsidDel="00000000" w:rsidR="00000000" w:rsidRPr="00000000">
        <w:rPr>
          <w:rFonts w:ascii="Arial" w:cs="Arial" w:eastAsia="Arial" w:hAnsi="Arial"/>
          <w:rtl w:val="0"/>
        </w:rPr>
        <w:t xml:space="preserve"> Dosis única de </w:t>
      </w:r>
      <w:r w:rsidDel="00000000" w:rsidR="00000000" w:rsidRPr="00000000">
        <w:rPr>
          <w:rFonts w:ascii="Arial" w:cs="Arial" w:eastAsia="Arial" w:hAnsi="Arial"/>
          <w:b w:val="1"/>
          <w:bCs w:val="1"/>
          <w:rtl w:val="0"/>
        </w:rPr>
        <w:t xml:space="preserve">0,3 ml</w:t>
      </w:r>
      <w:r w:rsidDel="00000000" w:rsidR="00000000" w:rsidRPr="00000000">
        <w:rPr>
          <w:rFonts w:ascii="Arial" w:cs="Arial" w:eastAsia="Arial" w:hAnsi="Arial"/>
          <w:rtl w:val="0"/>
        </w:rPr>
        <w:t xml:space="preserve">.</w:t>
      </w:r>
    </w:p>
    <w:p w:rsidR="00000000" w:rsidDel="00000000" w:rsidP="00000000" w:rsidRDefault="00000000" w:rsidRPr="00000000" w14:paraId="000002A7">
      <w:pPr>
        <w:widowControl w:val="1"/>
        <w:numPr>
          <w:ilvl w:val="0"/>
          <w:numId w:val="14"/>
        </w:numPr>
        <w:spacing w:after="0" w:before="0" w:lineRule="auto"/>
        <w:ind w:left="720" w:hanging="360"/>
        <w:rPr/>
      </w:pPr>
      <w:r w:rsidDel="00000000" w:rsidR="00000000" w:rsidRPr="00000000">
        <w:rPr>
          <w:rFonts w:ascii="Arial" w:cs="Arial" w:eastAsia="Arial" w:hAnsi="Arial"/>
          <w:b w:val="1"/>
          <w:bCs w:val="1"/>
          <w:rtl w:val="0"/>
        </w:rPr>
        <w:t xml:space="preserve">Estrategia:</w:t>
      </w:r>
      <w:r w:rsidDel="00000000" w:rsidR="00000000" w:rsidRPr="00000000">
        <w:rPr>
          <w:rtl w:val="0"/>
        </w:rPr>
      </w:r>
    </w:p>
    <w:p w:rsidR="00000000" w:rsidDel="00000000" w:rsidP="00000000" w:rsidRDefault="00000000" w:rsidRPr="00000000" w14:paraId="000002A8">
      <w:pPr>
        <w:widowControl w:val="1"/>
        <w:numPr>
          <w:ilvl w:val="1"/>
          <w:numId w:val="14"/>
        </w:numPr>
        <w:spacing w:after="0" w:before="0" w:lineRule="auto"/>
        <w:ind w:left="1440" w:hanging="360"/>
        <w:rPr/>
      </w:pPr>
      <w:r w:rsidDel="00000000" w:rsidR="00000000" w:rsidRPr="00000000">
        <w:rPr>
          <w:rFonts w:ascii="Arial" w:cs="Arial" w:eastAsia="Arial" w:hAnsi="Arial"/>
          <w:rtl w:val="0"/>
        </w:rPr>
        <w:t xml:space="preserve">Inclusión para completar viales abiertos.</w:t>
      </w:r>
    </w:p>
    <w:p w:rsidR="00000000" w:rsidDel="00000000" w:rsidP="00000000" w:rsidRDefault="00000000" w:rsidRPr="00000000" w14:paraId="000002A9">
      <w:pPr>
        <w:widowControl w:val="1"/>
        <w:numPr>
          <w:ilvl w:val="1"/>
          <w:numId w:val="14"/>
        </w:numPr>
        <w:spacing w:after="0" w:before="0" w:lineRule="auto"/>
        <w:ind w:left="1440" w:hanging="360"/>
        <w:rPr/>
      </w:pPr>
      <w:r w:rsidDel="00000000" w:rsidR="00000000" w:rsidRPr="00000000">
        <w:rPr>
          <w:rFonts w:ascii="Arial" w:cs="Arial" w:eastAsia="Arial" w:hAnsi="Arial"/>
          <w:rtl w:val="0"/>
        </w:rPr>
        <w:t xml:space="preserve">Promoción en redes sociales, medios comunitarios y puntos de salud.</w:t>
      </w:r>
    </w:p>
    <w:p w:rsidR="00000000" w:rsidDel="00000000" w:rsidP="00000000" w:rsidRDefault="00000000" w:rsidRPr="00000000" w14:paraId="000002AA">
      <w:pPr>
        <w:widowControl w:val="1"/>
        <w:numPr>
          <w:ilvl w:val="1"/>
          <w:numId w:val="14"/>
        </w:numPr>
        <w:spacing w:after="280" w:before="0" w:lineRule="auto"/>
        <w:ind w:left="1440" w:hanging="360"/>
        <w:rPr/>
      </w:pPr>
      <w:r w:rsidDel="00000000" w:rsidR="00000000" w:rsidRPr="00000000">
        <w:rPr>
          <w:rFonts w:ascii="Arial" w:cs="Arial" w:eastAsia="Arial" w:hAnsi="Arial"/>
          <w:rtl w:val="0"/>
        </w:rPr>
        <w:t xml:space="preserve">Captación en salas de espera o centros educativos.</w:t>
      </w:r>
    </w:p>
    <w:p w:rsidR="00000000" w:rsidDel="00000000" w:rsidP="00000000" w:rsidRDefault="00000000" w:rsidRPr="00000000" w14:paraId="000002AB">
      <w:pPr>
        <w:widowControl w:val="1"/>
        <w:spacing w:after="280" w:before="280" w:lineRule="auto"/>
        <w:rPr>
          <w:rFonts w:ascii="Arial" w:cs="Arial" w:eastAsia="Arial" w:hAnsi="Arial"/>
        </w:rPr>
      </w:pPr>
      <w:r w:rsidDel="00000000" w:rsidR="00000000" w:rsidRPr="00000000">
        <w:rPr>
          <w:rtl w:val="0"/>
        </w:rPr>
      </w:r>
    </w:p>
    <w:p w:rsidR="00000000" w:rsidDel="00000000" w:rsidP="00000000" w:rsidRDefault="00000000" w:rsidRPr="00000000" w14:paraId="000002AC">
      <w:pPr>
        <w:widowControl w:val="1"/>
        <w:spacing w:after="280" w:before="280" w:lineRule="auto"/>
        <w:rPr>
          <w:rFonts w:ascii="Arial" w:cs="Arial" w:eastAsia="Arial" w:hAnsi="Arial"/>
        </w:rPr>
      </w:pPr>
      <w:r w:rsidDel="00000000" w:rsidR="00000000" w:rsidRPr="00000000">
        <w:rPr>
          <w:rtl w:val="0"/>
        </w:rPr>
      </w:r>
    </w:p>
    <w:p w:rsidR="00000000" w:rsidDel="00000000" w:rsidP="00000000" w:rsidRDefault="00000000" w:rsidRPr="00000000" w14:paraId="000002AD">
      <w:pPr>
        <w:widowControl w:val="1"/>
        <w:spacing w:after="280" w:before="280" w:lineRule="auto"/>
        <w:rPr>
          <w:rFonts w:ascii="Arial" w:cs="Arial" w:eastAsia="Arial" w:hAnsi="Arial"/>
        </w:rPr>
      </w:pPr>
      <w:r w:rsidDel="00000000" w:rsidR="00000000" w:rsidRPr="00000000">
        <w:rPr>
          <w:rtl w:val="0"/>
        </w:rPr>
      </w:r>
    </w:p>
    <w:p w:rsidR="00000000" w:rsidDel="00000000" w:rsidP="00000000" w:rsidRDefault="00000000" w:rsidRPr="00000000" w14:paraId="000002AE">
      <w:pPr>
        <w:widowControl w:val="1"/>
        <w:spacing w:after="280" w:before="280" w:lineRule="auto"/>
        <w:rPr>
          <w:rFonts w:ascii="Arial" w:cs="Arial" w:eastAsia="Arial" w:hAnsi="Arial"/>
        </w:rPr>
      </w:pPr>
      <w:r w:rsidDel="00000000" w:rsidR="00000000" w:rsidRPr="00000000">
        <w:rPr>
          <w:rtl w:val="0"/>
        </w:rPr>
      </w:r>
    </w:p>
    <w:tbl>
      <w:tblPr>
        <w:tblStyle w:val="Table7"/>
        <w:tblW w:w="9999.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10"/>
        <w:gridCol w:w="7189"/>
        <w:tblGridChange w:id="0">
          <w:tblGrid>
            <w:gridCol w:w="2810"/>
            <w:gridCol w:w="7189"/>
          </w:tblGrid>
        </w:tblGridChange>
      </w:tblGrid>
      <w:tr>
        <w:trPr>
          <w:cantSplit w:val="0"/>
          <w:tblHeader w:val="1"/>
        </w:trPr>
        <w:tc>
          <w:tcPr>
            <w:vAlign w:val="center"/>
          </w:tcPr>
          <w:p w:rsidR="00000000" w:rsidDel="00000000" w:rsidP="00000000" w:rsidRDefault="00000000" w:rsidRPr="00000000" w14:paraId="000002AF">
            <w:pPr>
              <w:widowControl w:val="1"/>
              <w:rPr>
                <w:rFonts w:ascii="Arial" w:cs="Arial" w:eastAsia="Arial" w:hAnsi="Arial"/>
                <w:b w:val="1"/>
                <w:bCs w:val="1"/>
              </w:rPr>
            </w:pPr>
            <w:r w:rsidDel="00000000" w:rsidR="00000000" w:rsidRPr="00000000">
              <w:rPr>
                <w:rFonts w:ascii="Arial" w:cs="Arial" w:eastAsia="Arial" w:hAnsi="Arial"/>
                <w:b w:val="1"/>
                <w:bCs w:val="1"/>
                <w:rtl w:val="0"/>
              </w:rPr>
              <w:t xml:space="preserve">Componente</w:t>
            </w:r>
          </w:p>
        </w:tc>
        <w:tc>
          <w:tcPr>
            <w:vAlign w:val="center"/>
          </w:tcPr>
          <w:p w:rsidR="00000000" w:rsidDel="00000000" w:rsidP="00000000" w:rsidRDefault="00000000" w:rsidRPr="00000000" w14:paraId="000002B0">
            <w:pPr>
              <w:widowControl w:val="1"/>
              <w:jc w:val="center"/>
              <w:rPr>
                <w:rFonts w:ascii="Arial" w:cs="Arial" w:eastAsia="Arial" w:hAnsi="Arial"/>
                <w:b w:val="1"/>
                <w:bCs w:val="1"/>
              </w:rPr>
            </w:pPr>
            <w:r w:rsidDel="00000000" w:rsidR="00000000" w:rsidRPr="00000000">
              <w:rPr>
                <w:rFonts w:ascii="Arial" w:cs="Arial" w:eastAsia="Arial" w:hAnsi="Arial"/>
                <w:b w:val="1"/>
                <w:bCs w:val="1"/>
                <w:rtl w:val="0"/>
              </w:rPr>
              <w:t xml:space="preserve">Estrategia</w:t>
            </w:r>
          </w:p>
        </w:tc>
      </w:tr>
      <w:tr>
        <w:trPr>
          <w:cantSplit w:val="0"/>
          <w:tblHeader w:val="0"/>
        </w:trPr>
        <w:tc>
          <w:tcPr>
            <w:vAlign w:val="center"/>
          </w:tcPr>
          <w:p w:rsidR="00000000" w:rsidDel="00000000" w:rsidP="00000000" w:rsidRDefault="00000000" w:rsidRPr="00000000" w14:paraId="000002B1">
            <w:pPr>
              <w:widowControl w:val="1"/>
              <w:rPr>
                <w:rFonts w:ascii="Arial" w:cs="Arial" w:eastAsia="Arial" w:hAnsi="Arial"/>
              </w:rPr>
            </w:pPr>
            <w:r w:rsidDel="00000000" w:rsidR="00000000" w:rsidRPr="00000000">
              <w:rPr>
                <w:rFonts w:ascii="Arial" w:cs="Arial" w:eastAsia="Arial" w:hAnsi="Arial"/>
                <w:b w:val="1"/>
                <w:bCs w:val="1"/>
                <w:rtl w:val="0"/>
              </w:rPr>
              <w:t xml:space="preserve">Cadena de frío</w:t>
            </w:r>
            <w:r w:rsidDel="00000000" w:rsidR="00000000" w:rsidRPr="00000000">
              <w:rPr>
                <w:rtl w:val="0"/>
              </w:rPr>
            </w:r>
          </w:p>
        </w:tc>
        <w:tc>
          <w:tcPr>
            <w:vAlign w:val="center"/>
          </w:tcPr>
          <w:p w:rsidR="00000000" w:rsidDel="00000000" w:rsidP="00000000" w:rsidRDefault="00000000" w:rsidRPr="00000000" w14:paraId="000002B2">
            <w:pPr>
              <w:widowControl w:val="1"/>
              <w:rPr>
                <w:rFonts w:ascii="Arial" w:cs="Arial" w:eastAsia="Arial" w:hAnsi="Arial"/>
              </w:rPr>
            </w:pPr>
            <w:r w:rsidDel="00000000" w:rsidR="00000000" w:rsidRPr="00000000">
              <w:rPr>
                <w:rFonts w:ascii="Arial" w:cs="Arial" w:eastAsia="Arial" w:hAnsi="Arial"/>
                <w:rtl w:val="0"/>
              </w:rPr>
              <w:t xml:space="preserve">Garantizar conservación entre 2°C y 8°C. Registrar hora de apertura del vial y vigilar uso en 6 horas.</w:t>
            </w:r>
          </w:p>
        </w:tc>
      </w:tr>
      <w:tr>
        <w:trPr>
          <w:cantSplit w:val="0"/>
          <w:tblHeader w:val="0"/>
        </w:trPr>
        <w:tc>
          <w:tcPr>
            <w:vAlign w:val="center"/>
          </w:tcPr>
          <w:p w:rsidR="00000000" w:rsidDel="00000000" w:rsidP="00000000" w:rsidRDefault="00000000" w:rsidRPr="00000000" w14:paraId="000002B3">
            <w:pPr>
              <w:widowControl w:val="1"/>
              <w:rPr>
                <w:rFonts w:ascii="Arial" w:cs="Arial" w:eastAsia="Arial" w:hAnsi="Arial"/>
              </w:rPr>
            </w:pPr>
            <w:r w:rsidDel="00000000" w:rsidR="00000000" w:rsidRPr="00000000">
              <w:rPr>
                <w:rFonts w:ascii="Arial" w:cs="Arial" w:eastAsia="Arial" w:hAnsi="Arial"/>
                <w:b w:val="1"/>
                <w:bCs w:val="1"/>
                <w:rtl w:val="0"/>
              </w:rPr>
              <w:t xml:space="preserve">Registro nominal</w:t>
            </w:r>
            <w:r w:rsidDel="00000000" w:rsidR="00000000" w:rsidRPr="00000000">
              <w:rPr>
                <w:rtl w:val="0"/>
              </w:rPr>
            </w:r>
          </w:p>
        </w:tc>
        <w:tc>
          <w:tcPr>
            <w:vAlign w:val="center"/>
          </w:tcPr>
          <w:p w:rsidR="00000000" w:rsidDel="00000000" w:rsidP="00000000" w:rsidRDefault="00000000" w:rsidRPr="00000000" w14:paraId="000002B4">
            <w:pPr>
              <w:widowControl w:val="1"/>
              <w:rPr>
                <w:rFonts w:ascii="Arial" w:cs="Arial" w:eastAsia="Arial" w:hAnsi="Arial"/>
              </w:rPr>
            </w:pPr>
            <w:r w:rsidDel="00000000" w:rsidR="00000000" w:rsidRPr="00000000">
              <w:rPr>
                <w:rFonts w:ascii="Arial" w:cs="Arial" w:eastAsia="Arial" w:hAnsi="Arial"/>
                <w:rtl w:val="0"/>
              </w:rPr>
              <w:t xml:space="preserve">Ingreso en PAIWEB en un plazo no mayor a 48 horas. Registro físico inmediato.</w:t>
            </w:r>
          </w:p>
        </w:tc>
      </w:tr>
      <w:tr>
        <w:trPr>
          <w:cantSplit w:val="0"/>
          <w:tblHeader w:val="0"/>
        </w:trPr>
        <w:tc>
          <w:tcPr>
            <w:vAlign w:val="center"/>
          </w:tcPr>
          <w:p w:rsidR="00000000" w:rsidDel="00000000" w:rsidP="00000000" w:rsidRDefault="00000000" w:rsidRPr="00000000" w14:paraId="000002B5">
            <w:pPr>
              <w:widowControl w:val="1"/>
              <w:rPr>
                <w:rFonts w:ascii="Arial" w:cs="Arial" w:eastAsia="Arial" w:hAnsi="Arial"/>
              </w:rPr>
            </w:pPr>
            <w:r w:rsidDel="00000000" w:rsidR="00000000" w:rsidRPr="00000000">
              <w:rPr>
                <w:rFonts w:ascii="Arial" w:cs="Arial" w:eastAsia="Arial" w:hAnsi="Arial"/>
                <w:b w:val="1"/>
                <w:bCs w:val="1"/>
                <w:rtl w:val="0"/>
              </w:rPr>
              <w:t xml:space="preserve">Vigilancia de eventos adversos</w:t>
            </w:r>
            <w:r w:rsidDel="00000000" w:rsidR="00000000" w:rsidRPr="00000000">
              <w:rPr>
                <w:rtl w:val="0"/>
              </w:rPr>
            </w:r>
          </w:p>
        </w:tc>
        <w:tc>
          <w:tcPr>
            <w:vAlign w:val="center"/>
          </w:tcPr>
          <w:p w:rsidR="00000000" w:rsidDel="00000000" w:rsidP="00000000" w:rsidRDefault="00000000" w:rsidRPr="00000000" w14:paraId="000002B6">
            <w:pPr>
              <w:widowControl w:val="1"/>
              <w:rPr>
                <w:rFonts w:ascii="Arial" w:cs="Arial" w:eastAsia="Arial" w:hAnsi="Arial"/>
              </w:rPr>
            </w:pPr>
            <w:r w:rsidDel="00000000" w:rsidR="00000000" w:rsidRPr="00000000">
              <w:rPr>
                <w:rFonts w:ascii="Arial" w:cs="Arial" w:eastAsia="Arial" w:hAnsi="Arial"/>
                <w:rtl w:val="0"/>
              </w:rPr>
              <w:t xml:space="preserve">Sensibilización sobre signos de alerta post-vacunación. Reporte a Sivigila.</w:t>
            </w:r>
          </w:p>
        </w:tc>
      </w:tr>
      <w:tr>
        <w:trPr>
          <w:cantSplit w:val="0"/>
          <w:tblHeader w:val="0"/>
        </w:trPr>
        <w:tc>
          <w:tcPr>
            <w:vAlign w:val="center"/>
          </w:tcPr>
          <w:p w:rsidR="00000000" w:rsidDel="00000000" w:rsidP="00000000" w:rsidRDefault="00000000" w:rsidRPr="00000000" w14:paraId="000002B7">
            <w:pPr>
              <w:widowControl w:val="1"/>
              <w:rPr>
                <w:rFonts w:ascii="Arial" w:cs="Arial" w:eastAsia="Arial" w:hAnsi="Arial"/>
              </w:rPr>
            </w:pPr>
            <w:r w:rsidDel="00000000" w:rsidR="00000000" w:rsidRPr="00000000">
              <w:rPr>
                <w:rFonts w:ascii="Arial" w:cs="Arial" w:eastAsia="Arial" w:hAnsi="Arial"/>
                <w:b w:val="1"/>
                <w:bCs w:val="1"/>
                <w:rtl w:val="0"/>
              </w:rPr>
              <w:t xml:space="preserve">Promoción y comunicación</w:t>
            </w:r>
            <w:r w:rsidDel="00000000" w:rsidR="00000000" w:rsidRPr="00000000">
              <w:rPr>
                <w:rtl w:val="0"/>
              </w:rPr>
            </w:r>
          </w:p>
        </w:tc>
        <w:tc>
          <w:tcPr>
            <w:vAlign w:val="center"/>
          </w:tcPr>
          <w:p w:rsidR="00000000" w:rsidDel="00000000" w:rsidP="00000000" w:rsidRDefault="00000000" w:rsidRPr="00000000" w14:paraId="000002B8">
            <w:pPr>
              <w:widowControl w:val="1"/>
              <w:rPr>
                <w:rFonts w:ascii="Arial" w:cs="Arial" w:eastAsia="Arial" w:hAnsi="Arial"/>
              </w:rPr>
            </w:pPr>
            <w:r w:rsidDel="00000000" w:rsidR="00000000" w:rsidRPr="00000000">
              <w:rPr>
                <w:rFonts w:ascii="Arial" w:cs="Arial" w:eastAsia="Arial" w:hAnsi="Arial"/>
                <w:rtl w:val="0"/>
              </w:rPr>
              <w:t xml:space="preserve">Difusión clara por edades y condiciones. Promoción en prenatal, EPS, consultas externas.</w:t>
            </w:r>
          </w:p>
        </w:tc>
      </w:tr>
      <w:tr>
        <w:trPr>
          <w:cantSplit w:val="0"/>
          <w:trHeight w:val="40" w:hRule="atLeast"/>
          <w:tblHeader w:val="0"/>
        </w:trPr>
        <w:tc>
          <w:tcPr>
            <w:vAlign w:val="center"/>
          </w:tcPr>
          <w:p w:rsidR="00000000" w:rsidDel="00000000" w:rsidP="00000000" w:rsidRDefault="00000000" w:rsidRPr="00000000" w14:paraId="000002B9">
            <w:pPr>
              <w:widowControl w:val="1"/>
              <w:rPr>
                <w:rFonts w:ascii="Arial" w:cs="Arial" w:eastAsia="Arial" w:hAnsi="Arial"/>
              </w:rPr>
            </w:pPr>
            <w:r w:rsidDel="00000000" w:rsidR="00000000" w:rsidRPr="00000000">
              <w:rPr>
                <w:rFonts w:ascii="Arial" w:cs="Arial" w:eastAsia="Arial" w:hAnsi="Arial"/>
                <w:b w:val="1"/>
                <w:bCs w:val="1"/>
                <w:rtl w:val="0"/>
              </w:rPr>
              <w:t xml:space="preserve">Optimización de dosis</w:t>
            </w:r>
            <w:r w:rsidDel="00000000" w:rsidR="00000000" w:rsidRPr="00000000">
              <w:rPr>
                <w:rtl w:val="0"/>
              </w:rPr>
            </w:r>
          </w:p>
        </w:tc>
        <w:tc>
          <w:tcPr>
            <w:vAlign w:val="center"/>
          </w:tcPr>
          <w:p w:rsidR="00000000" w:rsidDel="00000000" w:rsidP="00000000" w:rsidRDefault="00000000" w:rsidRPr="00000000" w14:paraId="000002BA">
            <w:pPr>
              <w:widowControl w:val="1"/>
              <w:rPr>
                <w:rFonts w:ascii="Arial" w:cs="Arial" w:eastAsia="Arial" w:hAnsi="Arial"/>
              </w:rPr>
            </w:pPr>
            <w:r w:rsidDel="00000000" w:rsidR="00000000" w:rsidRPr="00000000">
              <w:rPr>
                <w:rFonts w:ascii="Arial" w:cs="Arial" w:eastAsia="Arial" w:hAnsi="Arial"/>
                <w:rtl w:val="0"/>
              </w:rPr>
              <w:t xml:space="preserve">Aplicar estrategia de "lista de espera" o captación inmediata para no perder dosis abiertas.</w:t>
            </w:r>
          </w:p>
        </w:tc>
      </w:tr>
    </w:tbl>
    <w:p w:rsidR="00000000" w:rsidDel="00000000" w:rsidP="00000000" w:rsidRDefault="00000000" w:rsidRPr="00000000" w14:paraId="000002BB">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 el propósito de fortalecer los procesos operativos y garantizar el cumplimiento de los lineamientos del Programa Ampliado de Inmunizaciones (PAI), se presenta el siguiente consolidado de componentes críticos y las estrategias implementadas para asegurar la calidad del proceso de vacunación, conservación de biológicos, registro oportuno y promoción efectiva.</w:t>
      </w:r>
    </w:p>
    <w:p w:rsidR="00000000" w:rsidDel="00000000" w:rsidP="00000000" w:rsidRDefault="00000000" w:rsidRPr="00000000" w14:paraId="000002BC">
      <w:pPr>
        <w:widowControl w:val="1"/>
        <w:spacing w:after="280" w:before="28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Cadena de Frío</w:t>
      </w:r>
    </w:p>
    <w:p w:rsidR="00000000" w:rsidDel="00000000" w:rsidP="00000000" w:rsidRDefault="00000000" w:rsidRPr="00000000" w14:paraId="000002BD">
      <w:pPr>
        <w:widowControl w:val="1"/>
        <w:spacing w:after="280" w:before="28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Estrategia aplicada:</w:t>
      </w:r>
      <w:r w:rsidDel="00000000" w:rsidR="00000000" w:rsidRPr="00000000">
        <w:rPr>
          <w:rtl w:val="0"/>
        </w:rPr>
      </w:r>
    </w:p>
    <w:p w:rsidR="00000000" w:rsidDel="00000000" w:rsidP="00000000" w:rsidRDefault="00000000" w:rsidRPr="00000000" w14:paraId="000002BE">
      <w:pPr>
        <w:widowControl w:val="1"/>
        <w:numPr>
          <w:ilvl w:val="0"/>
          <w:numId w:val="15"/>
        </w:numPr>
        <w:spacing w:after="0" w:before="280" w:lineRule="auto"/>
        <w:ind w:left="720" w:hanging="360"/>
        <w:rPr/>
      </w:pPr>
      <w:r w:rsidDel="00000000" w:rsidR="00000000" w:rsidRPr="00000000">
        <w:rPr>
          <w:rFonts w:ascii="Arial" w:cs="Arial" w:eastAsia="Arial" w:hAnsi="Arial"/>
          <w:sz w:val="24"/>
          <w:szCs w:val="24"/>
          <w:rtl w:val="0"/>
        </w:rPr>
        <w:t xml:space="preserve">Se garantiza la adecuada conservación de los biológicos manteniendo la temperatura entre </w:t>
      </w:r>
      <w:r w:rsidDel="00000000" w:rsidR="00000000" w:rsidRPr="00000000">
        <w:rPr>
          <w:rFonts w:ascii="Arial" w:cs="Arial" w:eastAsia="Arial" w:hAnsi="Arial"/>
          <w:b w:val="1"/>
          <w:bCs w:val="1"/>
          <w:sz w:val="24"/>
          <w:szCs w:val="24"/>
          <w:rtl w:val="0"/>
        </w:rPr>
        <w:t xml:space="preserve">2°C y 8°C</w:t>
      </w:r>
      <w:r w:rsidDel="00000000" w:rsidR="00000000" w:rsidRPr="00000000">
        <w:rPr>
          <w:rFonts w:ascii="Arial" w:cs="Arial" w:eastAsia="Arial" w:hAnsi="Arial"/>
          <w:sz w:val="24"/>
          <w:szCs w:val="24"/>
          <w:rtl w:val="0"/>
        </w:rPr>
        <w:t xml:space="preserve">, conforme a los lineamientos nacionales.</w:t>
      </w:r>
    </w:p>
    <w:p w:rsidR="00000000" w:rsidDel="00000000" w:rsidP="00000000" w:rsidRDefault="00000000" w:rsidRPr="00000000" w14:paraId="000002BF">
      <w:pPr>
        <w:widowControl w:val="1"/>
        <w:numPr>
          <w:ilvl w:val="0"/>
          <w:numId w:val="15"/>
        </w:numPr>
        <w:spacing w:after="0" w:before="0" w:lineRule="auto"/>
        <w:ind w:left="720" w:hanging="360"/>
        <w:rPr/>
      </w:pPr>
      <w:r w:rsidDel="00000000" w:rsidR="00000000" w:rsidRPr="00000000">
        <w:rPr>
          <w:rFonts w:ascii="Arial" w:cs="Arial" w:eastAsia="Arial" w:hAnsi="Arial"/>
          <w:sz w:val="24"/>
          <w:szCs w:val="24"/>
          <w:rtl w:val="0"/>
        </w:rPr>
        <w:t xml:space="preserve">Se realiza el registro de la </w:t>
      </w:r>
      <w:r w:rsidDel="00000000" w:rsidR="00000000" w:rsidRPr="00000000">
        <w:rPr>
          <w:rFonts w:ascii="Arial" w:cs="Arial" w:eastAsia="Arial" w:hAnsi="Arial"/>
          <w:b w:val="1"/>
          <w:bCs w:val="1"/>
          <w:sz w:val="24"/>
          <w:szCs w:val="24"/>
          <w:rtl w:val="0"/>
        </w:rPr>
        <w:t xml:space="preserve">hora de apertura del vial</w:t>
      </w:r>
      <w:r w:rsidDel="00000000" w:rsidR="00000000" w:rsidRPr="00000000">
        <w:rPr>
          <w:rFonts w:ascii="Arial" w:cs="Arial" w:eastAsia="Arial" w:hAnsi="Arial"/>
          <w:sz w:val="24"/>
          <w:szCs w:val="24"/>
          <w:rtl w:val="0"/>
        </w:rPr>
        <w:t xml:space="preserve"> en cada jornada o punto de vacunación.</w:t>
      </w:r>
    </w:p>
    <w:p w:rsidR="00000000" w:rsidDel="00000000" w:rsidP="00000000" w:rsidRDefault="00000000" w:rsidRPr="00000000" w14:paraId="000002C0">
      <w:pPr>
        <w:widowControl w:val="1"/>
        <w:numPr>
          <w:ilvl w:val="0"/>
          <w:numId w:val="15"/>
        </w:numPr>
        <w:spacing w:after="280" w:before="0" w:lineRule="auto"/>
        <w:ind w:left="720" w:hanging="360"/>
        <w:rPr/>
      </w:pPr>
      <w:r w:rsidDel="00000000" w:rsidR="00000000" w:rsidRPr="00000000">
        <w:rPr>
          <w:rFonts w:ascii="Arial" w:cs="Arial" w:eastAsia="Arial" w:hAnsi="Arial"/>
          <w:sz w:val="24"/>
          <w:szCs w:val="24"/>
          <w:rtl w:val="0"/>
        </w:rPr>
        <w:t xml:space="preserve">Se vigila estrictamente el </w:t>
      </w:r>
      <w:r w:rsidDel="00000000" w:rsidR="00000000" w:rsidRPr="00000000">
        <w:rPr>
          <w:rFonts w:ascii="Arial" w:cs="Arial" w:eastAsia="Arial" w:hAnsi="Arial"/>
          <w:b w:val="1"/>
          <w:bCs w:val="1"/>
          <w:sz w:val="24"/>
          <w:szCs w:val="24"/>
          <w:rtl w:val="0"/>
        </w:rPr>
        <w:t xml:space="preserve">tiempo máximo de utilización del vial</w:t>
      </w:r>
      <w:r w:rsidDel="00000000" w:rsidR="00000000" w:rsidRPr="00000000">
        <w:rPr>
          <w:rFonts w:ascii="Arial" w:cs="Arial" w:eastAsia="Arial" w:hAnsi="Arial"/>
          <w:sz w:val="24"/>
          <w:szCs w:val="24"/>
          <w:rtl w:val="0"/>
        </w:rPr>
        <w:t xml:space="preserve">, asegurando su uso dentro de las </w:t>
      </w:r>
      <w:r w:rsidDel="00000000" w:rsidR="00000000" w:rsidRPr="00000000">
        <w:rPr>
          <w:rFonts w:ascii="Arial" w:cs="Arial" w:eastAsia="Arial" w:hAnsi="Arial"/>
          <w:b w:val="1"/>
          <w:bCs w:val="1"/>
          <w:sz w:val="24"/>
          <w:szCs w:val="24"/>
          <w:rtl w:val="0"/>
        </w:rPr>
        <w:t xml:space="preserve">6 horas posteriores a la apertura</w:t>
      </w:r>
      <w:r w:rsidDel="00000000" w:rsidR="00000000" w:rsidRPr="00000000">
        <w:rPr>
          <w:rFonts w:ascii="Arial" w:cs="Arial" w:eastAsia="Arial" w:hAnsi="Arial"/>
          <w:sz w:val="24"/>
          <w:szCs w:val="24"/>
          <w:rtl w:val="0"/>
        </w:rPr>
        <w:t xml:space="preserve"> para preservar la eficacia del biológico.</w:t>
      </w:r>
    </w:p>
    <w:p w:rsidR="00000000" w:rsidDel="00000000" w:rsidP="00000000" w:rsidRDefault="00000000" w:rsidRPr="00000000" w14:paraId="000002C1">
      <w:pPr>
        <w:widowControl w:val="1"/>
        <w:spacing w:after="280" w:before="28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 Registro Nominal</w:t>
      </w:r>
    </w:p>
    <w:p w:rsidR="00000000" w:rsidDel="00000000" w:rsidP="00000000" w:rsidRDefault="00000000" w:rsidRPr="00000000" w14:paraId="000002C2">
      <w:pPr>
        <w:widowControl w:val="1"/>
        <w:spacing w:after="280" w:before="28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Estrategia aplicada:</w:t>
      </w:r>
      <w:r w:rsidDel="00000000" w:rsidR="00000000" w:rsidRPr="00000000">
        <w:rPr>
          <w:rtl w:val="0"/>
        </w:rPr>
      </w:r>
    </w:p>
    <w:p w:rsidR="00000000" w:rsidDel="00000000" w:rsidP="00000000" w:rsidRDefault="00000000" w:rsidRPr="00000000" w14:paraId="000002C3">
      <w:pPr>
        <w:widowControl w:val="1"/>
        <w:numPr>
          <w:ilvl w:val="0"/>
          <w:numId w:val="16"/>
        </w:numPr>
        <w:spacing w:after="0" w:before="280" w:lineRule="auto"/>
        <w:ind w:left="720" w:hanging="360"/>
        <w:rPr/>
      </w:pPr>
      <w:r w:rsidDel="00000000" w:rsidR="00000000" w:rsidRPr="00000000">
        <w:rPr>
          <w:rFonts w:ascii="Arial" w:cs="Arial" w:eastAsia="Arial" w:hAnsi="Arial"/>
          <w:sz w:val="24"/>
          <w:szCs w:val="24"/>
          <w:rtl w:val="0"/>
        </w:rPr>
        <w:t xml:space="preserve">El ingreso nominal de cada usuario vacunado se realiza en </w:t>
      </w:r>
      <w:r w:rsidDel="00000000" w:rsidR="00000000" w:rsidRPr="00000000">
        <w:rPr>
          <w:rFonts w:ascii="Arial" w:cs="Arial" w:eastAsia="Arial" w:hAnsi="Arial"/>
          <w:b w:val="1"/>
          <w:bCs w:val="1"/>
          <w:sz w:val="24"/>
          <w:szCs w:val="24"/>
          <w:rtl w:val="0"/>
        </w:rPr>
        <w:t xml:space="preserve">PAIWEB en un plazo no mayor a 48 horas</w:t>
      </w:r>
      <w:r w:rsidDel="00000000" w:rsidR="00000000" w:rsidRPr="00000000">
        <w:rPr>
          <w:rFonts w:ascii="Arial" w:cs="Arial" w:eastAsia="Arial" w:hAnsi="Arial"/>
          <w:sz w:val="24"/>
          <w:szCs w:val="24"/>
          <w:rtl w:val="0"/>
        </w:rPr>
        <w:t xml:space="preserve">, garantizando la actualización oportuna de la información.</w:t>
      </w:r>
    </w:p>
    <w:p w:rsidR="00000000" w:rsidDel="00000000" w:rsidP="00000000" w:rsidRDefault="00000000" w:rsidRPr="00000000" w14:paraId="000002C4">
      <w:pPr>
        <w:widowControl w:val="1"/>
        <w:numPr>
          <w:ilvl w:val="0"/>
          <w:numId w:val="16"/>
        </w:numPr>
        <w:spacing w:after="280" w:before="0" w:lineRule="auto"/>
        <w:ind w:left="720" w:hanging="360"/>
        <w:rPr/>
      </w:pPr>
      <w:r w:rsidDel="00000000" w:rsidR="00000000" w:rsidRPr="00000000">
        <w:rPr>
          <w:rFonts w:ascii="Arial" w:cs="Arial" w:eastAsia="Arial" w:hAnsi="Arial"/>
          <w:sz w:val="24"/>
          <w:szCs w:val="24"/>
          <w:rtl w:val="0"/>
        </w:rPr>
        <w:t xml:space="preserve">Se diligencia de manera inmediata el </w:t>
      </w:r>
      <w:r w:rsidDel="00000000" w:rsidR="00000000" w:rsidRPr="00000000">
        <w:rPr>
          <w:rFonts w:ascii="Arial" w:cs="Arial" w:eastAsia="Arial" w:hAnsi="Arial"/>
          <w:b w:val="1"/>
          <w:bCs w:val="1"/>
          <w:sz w:val="24"/>
          <w:szCs w:val="24"/>
          <w:rtl w:val="0"/>
        </w:rPr>
        <w:t xml:space="preserve">registro físico</w:t>
      </w:r>
      <w:r w:rsidDel="00000000" w:rsidR="00000000" w:rsidRPr="00000000">
        <w:rPr>
          <w:rFonts w:ascii="Arial" w:cs="Arial" w:eastAsia="Arial" w:hAnsi="Arial"/>
          <w:sz w:val="24"/>
          <w:szCs w:val="24"/>
          <w:rtl w:val="0"/>
        </w:rPr>
        <w:t xml:space="preserve"> en el formato correspondiente durante el momento de la vacunación, para evitar omisiones y asegurar la trazabilidad del biológico.</w:t>
      </w:r>
    </w:p>
    <w:p w:rsidR="00000000" w:rsidDel="00000000" w:rsidP="00000000" w:rsidRDefault="00000000" w:rsidRPr="00000000" w14:paraId="000002C5">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6">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7">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8">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9">
      <w:pPr>
        <w:widowControl w:val="1"/>
        <w:spacing w:after="280" w:before="28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 Vigilancia de Eventos Adversos Posteriores a la Vacunación (EAPV)</w:t>
      </w:r>
    </w:p>
    <w:p w:rsidR="00000000" w:rsidDel="00000000" w:rsidP="00000000" w:rsidRDefault="00000000" w:rsidRPr="00000000" w14:paraId="000002CA">
      <w:pPr>
        <w:widowControl w:val="1"/>
        <w:spacing w:after="280" w:before="28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Estrategia aplicada:</w:t>
      </w:r>
      <w:r w:rsidDel="00000000" w:rsidR="00000000" w:rsidRPr="00000000">
        <w:rPr>
          <w:rtl w:val="0"/>
        </w:rPr>
      </w:r>
    </w:p>
    <w:p w:rsidR="00000000" w:rsidDel="00000000" w:rsidP="00000000" w:rsidRDefault="00000000" w:rsidRPr="00000000" w14:paraId="000002CB">
      <w:pPr>
        <w:widowControl w:val="1"/>
        <w:numPr>
          <w:ilvl w:val="0"/>
          <w:numId w:val="17"/>
        </w:numPr>
        <w:spacing w:after="0" w:before="280" w:lineRule="auto"/>
        <w:ind w:left="720" w:hanging="360"/>
        <w:rPr/>
      </w:pPr>
      <w:r w:rsidDel="00000000" w:rsidR="00000000" w:rsidRPr="00000000">
        <w:rPr>
          <w:rFonts w:ascii="Arial" w:cs="Arial" w:eastAsia="Arial" w:hAnsi="Arial"/>
          <w:sz w:val="24"/>
          <w:szCs w:val="24"/>
          <w:rtl w:val="0"/>
        </w:rPr>
        <w:t xml:space="preserve">Se ejecutan acciones de </w:t>
      </w:r>
      <w:r w:rsidDel="00000000" w:rsidR="00000000" w:rsidRPr="00000000">
        <w:rPr>
          <w:rFonts w:ascii="Arial" w:cs="Arial" w:eastAsia="Arial" w:hAnsi="Arial"/>
          <w:b w:val="1"/>
          <w:bCs w:val="1"/>
          <w:sz w:val="24"/>
          <w:szCs w:val="24"/>
          <w:rtl w:val="0"/>
        </w:rPr>
        <w:t xml:space="preserve">sensibilización a los usuarios</w:t>
      </w:r>
      <w:r w:rsidDel="00000000" w:rsidR="00000000" w:rsidRPr="00000000">
        <w:rPr>
          <w:rFonts w:ascii="Arial" w:cs="Arial" w:eastAsia="Arial" w:hAnsi="Arial"/>
          <w:sz w:val="24"/>
          <w:szCs w:val="24"/>
          <w:rtl w:val="0"/>
        </w:rPr>
        <w:t xml:space="preserve"> sobre los signos de alerta posteriores a la vacunación.</w:t>
      </w:r>
    </w:p>
    <w:p w:rsidR="00000000" w:rsidDel="00000000" w:rsidP="00000000" w:rsidRDefault="00000000" w:rsidRPr="00000000" w14:paraId="000002CC">
      <w:pPr>
        <w:widowControl w:val="1"/>
        <w:numPr>
          <w:ilvl w:val="0"/>
          <w:numId w:val="17"/>
        </w:numPr>
        <w:spacing w:after="280" w:before="0" w:lineRule="auto"/>
        <w:ind w:left="720" w:hanging="360"/>
        <w:rPr/>
      </w:pPr>
      <w:r w:rsidDel="00000000" w:rsidR="00000000" w:rsidRPr="00000000">
        <w:rPr>
          <w:rFonts w:ascii="Arial" w:cs="Arial" w:eastAsia="Arial" w:hAnsi="Arial"/>
          <w:sz w:val="24"/>
          <w:szCs w:val="24"/>
          <w:rtl w:val="0"/>
        </w:rPr>
        <w:t xml:space="preserve">Ante la identificación de cualquier evento adverso, se realiza el </w:t>
      </w:r>
      <w:r w:rsidDel="00000000" w:rsidR="00000000" w:rsidRPr="00000000">
        <w:rPr>
          <w:rFonts w:ascii="Arial" w:cs="Arial" w:eastAsia="Arial" w:hAnsi="Arial"/>
          <w:b w:val="1"/>
          <w:bCs w:val="1"/>
          <w:sz w:val="24"/>
          <w:szCs w:val="24"/>
          <w:rtl w:val="0"/>
        </w:rPr>
        <w:t xml:space="preserve">reporte inmediato al sistema Sivigila</w:t>
      </w:r>
      <w:r w:rsidDel="00000000" w:rsidR="00000000" w:rsidRPr="00000000">
        <w:rPr>
          <w:rFonts w:ascii="Arial" w:cs="Arial" w:eastAsia="Arial" w:hAnsi="Arial"/>
          <w:sz w:val="24"/>
          <w:szCs w:val="24"/>
          <w:rtl w:val="0"/>
        </w:rPr>
        <w:t xml:space="preserve">, cumpliendo los protocolos de vigilancia epidemiológica.</w:t>
      </w:r>
    </w:p>
    <w:p w:rsidR="00000000" w:rsidDel="00000000" w:rsidP="00000000" w:rsidRDefault="00000000" w:rsidRPr="00000000" w14:paraId="000002CD">
      <w:pPr>
        <w:widowControl w:val="1"/>
        <w:spacing w:after="280" w:before="28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4. Promoción y Comunicación en Salud</w:t>
      </w:r>
    </w:p>
    <w:p w:rsidR="00000000" w:rsidDel="00000000" w:rsidP="00000000" w:rsidRDefault="00000000" w:rsidRPr="00000000" w14:paraId="000002CE">
      <w:pPr>
        <w:widowControl w:val="1"/>
        <w:spacing w:after="280" w:before="28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Estrategia aplicada:</w:t>
      </w:r>
      <w:r w:rsidDel="00000000" w:rsidR="00000000" w:rsidRPr="00000000">
        <w:rPr>
          <w:rtl w:val="0"/>
        </w:rPr>
      </w:r>
    </w:p>
    <w:p w:rsidR="00000000" w:rsidDel="00000000" w:rsidP="00000000" w:rsidRDefault="00000000" w:rsidRPr="00000000" w14:paraId="000002CF">
      <w:pPr>
        <w:widowControl w:val="1"/>
        <w:numPr>
          <w:ilvl w:val="0"/>
          <w:numId w:val="18"/>
        </w:numPr>
        <w:spacing w:after="0" w:before="280" w:lineRule="auto"/>
        <w:ind w:left="720" w:hanging="360"/>
        <w:rPr/>
      </w:pPr>
      <w:r w:rsidDel="00000000" w:rsidR="00000000" w:rsidRPr="00000000">
        <w:rPr>
          <w:rFonts w:ascii="Arial" w:cs="Arial" w:eastAsia="Arial" w:hAnsi="Arial"/>
          <w:sz w:val="24"/>
          <w:szCs w:val="24"/>
          <w:rtl w:val="0"/>
        </w:rPr>
        <w:t xml:space="preserve">Se realiza la difusión clara y oportuna de la información sobre la vacunación, segmentada por </w:t>
      </w:r>
      <w:r w:rsidDel="00000000" w:rsidR="00000000" w:rsidRPr="00000000">
        <w:rPr>
          <w:rFonts w:ascii="Arial" w:cs="Arial" w:eastAsia="Arial" w:hAnsi="Arial"/>
          <w:b w:val="1"/>
          <w:bCs w:val="1"/>
          <w:sz w:val="24"/>
          <w:szCs w:val="24"/>
          <w:rtl w:val="0"/>
        </w:rPr>
        <w:t xml:space="preserve">edades, grupos de riesgo y condiciones de salud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2D0">
      <w:pPr>
        <w:widowControl w:val="1"/>
        <w:numPr>
          <w:ilvl w:val="0"/>
          <w:numId w:val="18"/>
        </w:numPr>
        <w:spacing w:after="280" w:before="0" w:lineRule="auto"/>
        <w:ind w:left="720" w:hanging="360"/>
        <w:rPr/>
      </w:pPr>
      <w:r w:rsidDel="00000000" w:rsidR="00000000" w:rsidRPr="00000000">
        <w:rPr>
          <w:rFonts w:ascii="Arial" w:cs="Arial" w:eastAsia="Arial" w:hAnsi="Arial"/>
          <w:sz w:val="24"/>
          <w:szCs w:val="24"/>
          <w:rtl w:val="0"/>
        </w:rPr>
        <w:t xml:space="preserve">Se fortalecen los procesos de promoción en </w:t>
      </w:r>
      <w:r w:rsidDel="00000000" w:rsidR="00000000" w:rsidRPr="00000000">
        <w:rPr>
          <w:rFonts w:ascii="Arial" w:cs="Arial" w:eastAsia="Arial" w:hAnsi="Arial"/>
          <w:b w:val="1"/>
          <w:bCs w:val="1"/>
          <w:sz w:val="24"/>
          <w:szCs w:val="24"/>
          <w:rtl w:val="0"/>
        </w:rPr>
        <w:t xml:space="preserve">controles prenatales, consultas externas, EPS y actividades comunitarias</w:t>
      </w:r>
      <w:r w:rsidDel="00000000" w:rsidR="00000000" w:rsidRPr="00000000">
        <w:rPr>
          <w:rFonts w:ascii="Arial" w:cs="Arial" w:eastAsia="Arial" w:hAnsi="Arial"/>
          <w:sz w:val="24"/>
          <w:szCs w:val="24"/>
          <w:rtl w:val="0"/>
        </w:rPr>
        <w:t xml:space="preserve">, garantizando mayor captación y adherencia al esquema nacional de vacunación.</w:t>
      </w:r>
    </w:p>
    <w:p w:rsidR="00000000" w:rsidDel="00000000" w:rsidP="00000000" w:rsidRDefault="00000000" w:rsidRPr="00000000" w14:paraId="000002D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80" w:before="28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optimización de dosis constituye un componente fundamental para asegurar el uso eficiente de los biológicos y minimizar las pérdidas técnicas durante las jornadas de vacunación. Para ello, se implementa la estrategia de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captación inmediata o “lista de espera”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cual permite que, una vez se abra un vial multidosis, se garantice la aplicación de la totalidad de las dosis dentro del tiempo establecido por el fabricante y los lineamientos nacionales. Asimismo, se fortalecen las acciones de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búsqueda activa intramural y extramural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 el fin de identificar usuarios pendientes por iniciar, continuar o completar esquema, priorizando aquellos grupos de riesgo definidos por el Ministerio de Salud. Estas medidas contribuyen a un uso más racional de los biológicos, disminuyen pérdidas evitables y aseguran la continuidad del proceso vacunador, optimizando los recursos disponibles y manteniendo la calidad del servicio.</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Optimización de Dosis:</w:t>
      </w:r>
    </w:p>
    <w:p w:rsidR="00000000" w:rsidDel="00000000" w:rsidP="00000000" w:rsidRDefault="00000000" w:rsidRPr="00000000" w14:paraId="000002D2">
      <w:pPr>
        <w:widowControl w:val="1"/>
        <w:spacing w:after="280" w:before="28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 Estrategia aplicada:</w:t>
      </w:r>
      <w:r w:rsidDel="00000000" w:rsidR="00000000" w:rsidRPr="00000000">
        <w:rPr>
          <w:rtl w:val="0"/>
        </w:rPr>
      </w:r>
    </w:p>
    <w:p w:rsidR="00000000" w:rsidDel="00000000" w:rsidP="00000000" w:rsidRDefault="00000000" w:rsidRPr="00000000" w14:paraId="000002D3">
      <w:pPr>
        <w:widowControl w:val="1"/>
        <w:numPr>
          <w:ilvl w:val="0"/>
          <w:numId w:val="19"/>
        </w:numPr>
        <w:spacing w:after="0" w:before="280" w:lineRule="auto"/>
        <w:ind w:left="720" w:hanging="360"/>
        <w:rPr/>
      </w:pPr>
      <w:r w:rsidDel="00000000" w:rsidR="00000000" w:rsidRPr="00000000">
        <w:rPr>
          <w:rFonts w:ascii="Arial" w:cs="Arial" w:eastAsia="Arial" w:hAnsi="Arial"/>
          <w:sz w:val="24"/>
          <w:szCs w:val="24"/>
          <w:rtl w:val="0"/>
        </w:rPr>
        <w:t xml:space="preserve">Se implementa la estrategia de </w:t>
      </w:r>
      <w:r w:rsidDel="00000000" w:rsidR="00000000" w:rsidRPr="00000000">
        <w:rPr>
          <w:rFonts w:ascii="Arial" w:cs="Arial" w:eastAsia="Arial" w:hAnsi="Arial"/>
          <w:b w:val="1"/>
          <w:bCs w:val="1"/>
          <w:sz w:val="24"/>
          <w:szCs w:val="24"/>
          <w:rtl w:val="0"/>
        </w:rPr>
        <w:t xml:space="preserve">“lista de espera”</w:t>
      </w:r>
      <w:r w:rsidDel="00000000" w:rsidR="00000000" w:rsidRPr="00000000">
        <w:rPr>
          <w:rFonts w:ascii="Arial" w:cs="Arial" w:eastAsia="Arial" w:hAnsi="Arial"/>
          <w:sz w:val="24"/>
          <w:szCs w:val="24"/>
          <w:rtl w:val="0"/>
        </w:rPr>
        <w:t xml:space="preserve"> o captación inmediata para garantizar el uso eficiente de los viales abiertos y evitar pérdidas técnicas.</w:t>
      </w:r>
    </w:p>
    <w:p w:rsidR="00000000" w:rsidDel="00000000" w:rsidP="00000000" w:rsidRDefault="00000000" w:rsidRPr="00000000" w14:paraId="000002D4">
      <w:pPr>
        <w:widowControl w:val="1"/>
        <w:numPr>
          <w:ilvl w:val="0"/>
          <w:numId w:val="19"/>
        </w:numPr>
        <w:spacing w:after="280" w:before="0" w:lineRule="auto"/>
        <w:ind w:left="720" w:hanging="360"/>
        <w:rPr/>
      </w:pPr>
      <w:r w:rsidDel="00000000" w:rsidR="00000000" w:rsidRPr="00000000">
        <w:rPr>
          <w:rFonts w:ascii="Arial" w:cs="Arial" w:eastAsia="Arial" w:hAnsi="Arial"/>
          <w:sz w:val="24"/>
          <w:szCs w:val="24"/>
          <w:rtl w:val="0"/>
        </w:rPr>
        <w:t xml:space="preserve">Se prioriza la búsqueda activa intramural y extramural para completar esquemas y optimizar el rendimiento del biológico.</w:t>
      </w:r>
    </w:p>
    <w:p w:rsidR="00000000" w:rsidDel="00000000" w:rsidP="00000000" w:rsidRDefault="00000000" w:rsidRPr="00000000" w14:paraId="000002D5">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6">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7">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8">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9">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A">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CONCLUSION VACUNA PFIZER JN1 COVID- 19 </w:t>
      </w:r>
    </w:p>
    <w:p w:rsidR="00000000" w:rsidDel="00000000" w:rsidP="00000000" w:rsidRDefault="00000000" w:rsidRPr="00000000" w14:paraId="000002DC">
      <w:pPr>
        <w:widowControl w:val="1"/>
        <w:spacing w:after="280" w:before="2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La vacuna </w:t>
      </w:r>
      <w:r w:rsidDel="00000000" w:rsidR="00000000" w:rsidRPr="00000000">
        <w:rPr>
          <w:rFonts w:ascii="Arial" w:cs="Arial" w:eastAsia="Arial" w:hAnsi="Arial"/>
          <w:b w:val="1"/>
          <w:bCs w:val="1"/>
          <w:sz w:val="24"/>
          <w:szCs w:val="24"/>
          <w:rtl w:val="0"/>
        </w:rPr>
        <w:t xml:space="preserve">Pfizer JN.1 contra COVID-19</w:t>
      </w:r>
      <w:r w:rsidDel="00000000" w:rsidR="00000000" w:rsidRPr="00000000">
        <w:rPr>
          <w:rFonts w:ascii="Arial" w:cs="Arial" w:eastAsia="Arial" w:hAnsi="Arial"/>
          <w:sz w:val="24"/>
          <w:szCs w:val="24"/>
          <w:rtl w:val="0"/>
        </w:rPr>
        <w:t xml:space="preserve"> constituye una herramienta fundamental para fortalecer la protección de la población frente a las variantes circulantes del SARS-CoV-2 La implementación articulada de las estrategias en los componentes clave del Programa Ampliado de Inmunizaciones permite fortalecer significativamente la calidad del proceso vacunador. Su aplicación ha demostrado ser segura, eficaz y coherente con las directrices nacionales de inmunización. Durante el proceso vacunador se garantizó el cumplimiento de las condiciones de cadena de frío, el registro nominal oportuno y la vigilancia activa de eventos adversos, lo que asegura la calidad del biológico y la seguridad del usuario. La aceptación de la vacuna en la comunidad, así como las estrategias de promoción y captación inmediata, contribuyeron a mejorar el acceso y favorecer coberturas más amplias, especialmente en grupos priorizados. En conjunto, la aplicación de la vacuna Pfizer JN.1 representa un avance significativo en la reducción del riesgo de enfermedad grave y en el fortalecimiento de la respuesta sanitaria frente al COVID-19.</w:t>
      </w:r>
    </w:p>
    <w:p w:rsidR="00000000" w:rsidDel="00000000" w:rsidP="00000000" w:rsidRDefault="00000000" w:rsidRPr="00000000" w14:paraId="000002DD">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E">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F">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101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1">
      <w:pPr>
        <w:widowControl w:val="1"/>
        <w:spacing w:after="280" w:before="28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tabs>
          <w:tab w:val="left" w:leader="none" w:pos="4305"/>
        </w:tabs>
        <w:rPr/>
      </w:pPr>
      <w:r w:rsidDel="00000000" w:rsidR="00000000" w:rsidRPr="00000000">
        <w:rPr>
          <w:rtl w:val="0"/>
        </w:rPr>
      </w:r>
    </w:p>
    <w:sectPr>
      <w:pgSz w:h="15840" w:w="12240" w:orient="portrait"/>
      <w:pgMar w:bottom="280" w:top="1820" w:left="144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Arial Unicode MS"/>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4"/>
      <w:numFmt w:val="decimal"/>
      <w:lvlText w:val="%3."/>
      <w:lvlJc w:val="left"/>
      <w:pPr>
        <w:ind w:left="2160" w:hanging="360"/>
      </w:pPr>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0"/>
      <w:numFmt w:val="bullet"/>
      <w:lvlText w:val="•"/>
      <w:lvlJc w:val="left"/>
      <w:pPr>
        <w:ind w:left="979" w:hanging="357.9999999999999"/>
      </w:pPr>
      <w:rPr>
        <w:rFonts w:ascii="Arial" w:cs="Arial" w:eastAsia="Arial" w:hAnsi="Arial"/>
        <w:b w:val="0"/>
        <w:bCs w:val="0"/>
        <w:i w:val="0"/>
        <w:iCs w:val="0"/>
        <w:sz w:val="24"/>
        <w:szCs w:val="24"/>
      </w:rPr>
    </w:lvl>
    <w:lvl w:ilvl="1">
      <w:start w:val="0"/>
      <w:numFmt w:val="bullet"/>
      <w:lvlText w:val="•"/>
      <w:lvlJc w:val="left"/>
      <w:pPr>
        <w:ind w:left="1854" w:hanging="357.9999999999998"/>
      </w:pPr>
      <w:rPr/>
    </w:lvl>
    <w:lvl w:ilvl="2">
      <w:start w:val="0"/>
      <w:numFmt w:val="bullet"/>
      <w:lvlText w:val="•"/>
      <w:lvlJc w:val="left"/>
      <w:pPr>
        <w:ind w:left="2728" w:hanging="358"/>
      </w:pPr>
      <w:rPr/>
    </w:lvl>
    <w:lvl w:ilvl="3">
      <w:start w:val="0"/>
      <w:numFmt w:val="bullet"/>
      <w:lvlText w:val="•"/>
      <w:lvlJc w:val="left"/>
      <w:pPr>
        <w:ind w:left="3602" w:hanging="358"/>
      </w:pPr>
      <w:rPr/>
    </w:lvl>
    <w:lvl w:ilvl="4">
      <w:start w:val="0"/>
      <w:numFmt w:val="bullet"/>
      <w:lvlText w:val="•"/>
      <w:lvlJc w:val="left"/>
      <w:pPr>
        <w:ind w:left="4476" w:hanging="358"/>
      </w:pPr>
      <w:rPr/>
    </w:lvl>
    <w:lvl w:ilvl="5">
      <w:start w:val="0"/>
      <w:numFmt w:val="bullet"/>
      <w:lvlText w:val="•"/>
      <w:lvlJc w:val="left"/>
      <w:pPr>
        <w:ind w:left="5350" w:hanging="358"/>
      </w:pPr>
      <w:rPr/>
    </w:lvl>
    <w:lvl w:ilvl="6">
      <w:start w:val="0"/>
      <w:numFmt w:val="bullet"/>
      <w:lvlText w:val="•"/>
      <w:lvlJc w:val="left"/>
      <w:pPr>
        <w:ind w:left="6224" w:hanging="358"/>
      </w:pPr>
      <w:rPr/>
    </w:lvl>
    <w:lvl w:ilvl="7">
      <w:start w:val="0"/>
      <w:numFmt w:val="bullet"/>
      <w:lvlText w:val="•"/>
      <w:lvlJc w:val="left"/>
      <w:pPr>
        <w:ind w:left="7098" w:hanging="358"/>
      </w:pPr>
      <w:rPr/>
    </w:lvl>
    <w:lvl w:ilvl="8">
      <w:start w:val="0"/>
      <w:numFmt w:val="bullet"/>
      <w:lvlText w:val="•"/>
      <w:lvlJc w:val="left"/>
      <w:pPr>
        <w:ind w:left="7972" w:hanging="357.9999999999991"/>
      </w:pPr>
      <w:rPr/>
    </w:lvl>
  </w:abstractNum>
  <w:abstractNum w:abstractNumId="24">
    <w:lvl w:ilvl="0">
      <w:start w:val="1"/>
      <w:numFmt w:val="decimal"/>
      <w:lvlText w:val="%1."/>
      <w:lvlJc w:val="left"/>
      <w:pPr>
        <w:ind w:left="1015" w:hanging="336"/>
      </w:pPr>
      <w:rPr>
        <w:rFonts w:ascii="Arial" w:cs="Arial" w:eastAsia="Arial" w:hAnsi="Arial"/>
        <w:b w:val="1"/>
        <w:bCs w:val="1"/>
        <w:i w:val="0"/>
        <w:iCs w:val="0"/>
        <w:sz w:val="24"/>
        <w:szCs w:val="24"/>
      </w:rPr>
    </w:lvl>
    <w:lvl w:ilvl="1">
      <w:start w:val="1"/>
      <w:numFmt w:val="decimal"/>
      <w:lvlText w:val="%1.%2"/>
      <w:lvlJc w:val="left"/>
      <w:pPr>
        <w:ind w:left="1081" w:hanging="403"/>
      </w:pPr>
      <w:rPr>
        <w:rFonts w:ascii="Arial" w:cs="Arial" w:eastAsia="Arial" w:hAnsi="Arial"/>
        <w:b w:val="1"/>
        <w:bCs w:val="1"/>
        <w:i w:val="0"/>
        <w:iCs w:val="0"/>
        <w:sz w:val="24"/>
        <w:szCs w:val="24"/>
      </w:rPr>
    </w:lvl>
    <w:lvl w:ilvl="2">
      <w:start w:val="0"/>
      <w:numFmt w:val="bullet"/>
      <w:lvlText w:val="•"/>
      <w:lvlJc w:val="left"/>
      <w:pPr>
        <w:ind w:left="979" w:hanging="357.9999999999999"/>
      </w:pPr>
      <w:rPr>
        <w:rFonts w:ascii="Arial" w:cs="Arial" w:eastAsia="Arial" w:hAnsi="Arial"/>
        <w:b w:val="0"/>
        <w:bCs w:val="0"/>
        <w:i w:val="0"/>
        <w:iCs w:val="0"/>
        <w:sz w:val="24"/>
        <w:szCs w:val="24"/>
      </w:rPr>
    </w:lvl>
    <w:lvl w:ilvl="3">
      <w:start w:val="0"/>
      <w:numFmt w:val="bullet"/>
      <w:lvlText w:val="•"/>
      <w:lvlJc w:val="left"/>
      <w:pPr>
        <w:ind w:left="2160" w:hanging="358"/>
      </w:pPr>
      <w:rPr/>
    </w:lvl>
    <w:lvl w:ilvl="4">
      <w:start w:val="0"/>
      <w:numFmt w:val="bullet"/>
      <w:lvlText w:val="•"/>
      <w:lvlJc w:val="left"/>
      <w:pPr>
        <w:ind w:left="3240" w:hanging="358"/>
      </w:pPr>
      <w:rPr/>
    </w:lvl>
    <w:lvl w:ilvl="5">
      <w:start w:val="0"/>
      <w:numFmt w:val="bullet"/>
      <w:lvlText w:val="•"/>
      <w:lvlJc w:val="left"/>
      <w:pPr>
        <w:ind w:left="4320" w:hanging="358"/>
      </w:pPr>
      <w:rPr/>
    </w:lvl>
    <w:lvl w:ilvl="6">
      <w:start w:val="0"/>
      <w:numFmt w:val="bullet"/>
      <w:lvlText w:val="•"/>
      <w:lvlJc w:val="left"/>
      <w:pPr>
        <w:ind w:left="5400" w:hanging="358"/>
      </w:pPr>
      <w:rPr/>
    </w:lvl>
    <w:lvl w:ilvl="7">
      <w:start w:val="0"/>
      <w:numFmt w:val="bullet"/>
      <w:lvlText w:val="•"/>
      <w:lvlJc w:val="left"/>
      <w:pPr>
        <w:ind w:left="6480" w:hanging="358"/>
      </w:pPr>
      <w:rPr/>
    </w:lvl>
    <w:lvl w:ilvl="8">
      <w:start w:val="0"/>
      <w:numFmt w:val="bullet"/>
      <w:lvlText w:val="•"/>
      <w:lvlJc w:val="left"/>
      <w:pPr>
        <w:ind w:left="7560" w:hanging="358"/>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right="360"/>
      <w:jc w:val="center"/>
    </w:pPr>
    <w:rPr>
      <w:rFonts w:ascii="Arial" w:cs="Arial" w:eastAsia="Arial" w:hAnsi="Arial"/>
      <w:b w:val="1"/>
      <w:bCs w:val="1"/>
      <w:sz w:val="36"/>
      <w:szCs w:val="36"/>
    </w:rPr>
  </w:style>
  <w:style w:type="paragraph" w:styleId="Heading2">
    <w:name w:val="heading 2"/>
    <w:basedOn w:val="Normal"/>
    <w:next w:val="Normal"/>
    <w:pPr>
      <w:ind w:left="1037" w:hanging="348"/>
    </w:pPr>
    <w:rPr>
      <w:rFonts w:ascii="Arial" w:cs="Arial" w:eastAsia="Arial" w:hAnsi="Arial"/>
      <w:b w:val="1"/>
      <w:bCs w:val="1"/>
      <w:sz w:val="24"/>
      <w:szCs w:val="24"/>
    </w:rPr>
  </w:style>
  <w:style w:type="paragraph" w:styleId="Heading3">
    <w:name w:val="heading 3"/>
    <w:basedOn w:val="Normal"/>
    <w:next w:val="Normal"/>
    <w:pPr>
      <w:ind w:left="660" w:hanging="401"/>
    </w:pPr>
    <w:rPr>
      <w:rFonts w:ascii="Arial" w:cs="Arial" w:eastAsia="Arial" w:hAnsi="Arial"/>
      <w:b w:val="1"/>
      <w:bCs w:val="1"/>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hyperlink" Target="https://www.bogotajuridica.gov.co/sisjur/normas/Norma1.jsp?dt=S&amp;i=151217" TargetMode="External"/><Relationship Id="rId12" Type="http://schemas.openxmlformats.org/officeDocument/2006/relationships/image" Target="media/image3.png"/><Relationship Id="rId9" Type="http://schemas.openxmlformats.org/officeDocument/2006/relationships/hyperlink" Target="https://www.bogotajuridica.gov.co/sisjur/normas/Norma1.jsp?dt=S&amp;i=143440#1"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4.png"/><Relationship Id="rId8" Type="http://schemas.openxmlformats.org/officeDocument/2006/relationships/hyperlink" Target="https://www.bogotajuridica.gov.co/sisjur/normas/Norma1.jsp?dt=S&amp;i=15412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2023-09-07T00:00:00Z</vt:lpwstr>
  </property>
  <property fmtid="{D5CDD505-2E9C-101B-9397-08002B2CF9AE}" pid="3" name="Creator">
    <vt:lpwstr>Microsoft® Word para Microsoft 365</vt:lpwstr>
  </property>
  <property fmtid="{D5CDD505-2E9C-101B-9397-08002B2CF9AE}" pid="4" name="LastSaved">
    <vt:lpwstr>2025-04-07T00:00:00Z</vt:lpwstr>
  </property>
  <property fmtid="{D5CDD505-2E9C-101B-9397-08002B2CF9AE}" pid="5" name="Producer">
    <vt:lpwstr>Microsoft® Word para Microsoft 365</vt:lpwstr>
  </property>
</Properties>
</file>